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10105" w14:textId="77777777" w:rsidR="00B64F46" w:rsidRDefault="00DC0569">
      <w:pPr>
        <w:tabs>
          <w:tab w:val="center" w:pos="1026"/>
          <w:tab w:val="right" w:pos="10849"/>
        </w:tabs>
        <w:spacing w:after="425" w:line="259" w:lineRule="auto"/>
        <w:ind w:left="0" w:right="-793" w:firstLine="0"/>
      </w:pPr>
      <w:r>
        <w:rPr>
          <w:rFonts w:ascii="Calibri" w:eastAsia="Calibri" w:hAnsi="Calibri" w:cs="Calibri"/>
          <w:sz w:val="22"/>
        </w:rPr>
        <w:tab/>
      </w:r>
      <w:r>
        <w:rPr>
          <w:b/>
        </w:rPr>
        <w:t xml:space="preserve"> </w:t>
      </w:r>
      <w:r>
        <w:rPr>
          <w:b/>
        </w:rPr>
        <w:tab/>
      </w:r>
      <w:r>
        <w:rPr>
          <w:noProof/>
        </w:rPr>
        <w:drawing>
          <wp:inline distT="0" distB="0" distL="0" distR="0" wp14:anchorId="5F1CA42D" wp14:editId="68D32BCF">
            <wp:extent cx="2672080" cy="79052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672080" cy="790524"/>
                    </a:xfrm>
                    <a:prstGeom prst="rect">
                      <a:avLst/>
                    </a:prstGeom>
                  </pic:spPr>
                </pic:pic>
              </a:graphicData>
            </a:graphic>
          </wp:inline>
        </w:drawing>
      </w:r>
    </w:p>
    <w:p w14:paraId="3730EFC3" w14:textId="77777777" w:rsidR="00B64F46" w:rsidRDefault="00DC0569">
      <w:pPr>
        <w:spacing w:after="125" w:line="259" w:lineRule="auto"/>
        <w:ind w:left="1026" w:firstLine="0"/>
      </w:pPr>
      <w:r>
        <w:rPr>
          <w:rFonts w:ascii="Calibri" w:eastAsia="Calibri" w:hAnsi="Calibri" w:cs="Calibri"/>
          <w:b/>
          <w:color w:val="7F7F7F"/>
          <w:sz w:val="52"/>
        </w:rPr>
        <w:t xml:space="preserve"> </w:t>
      </w:r>
    </w:p>
    <w:p w14:paraId="6B6AE899" w14:textId="77777777" w:rsidR="00B64F46" w:rsidRDefault="00DC0569">
      <w:pPr>
        <w:spacing w:after="124" w:line="259" w:lineRule="auto"/>
        <w:ind w:left="1026" w:firstLine="0"/>
      </w:pPr>
      <w:r>
        <w:rPr>
          <w:rFonts w:ascii="Calibri" w:eastAsia="Calibri" w:hAnsi="Calibri" w:cs="Calibri"/>
          <w:b/>
          <w:color w:val="7F7F7F"/>
          <w:sz w:val="52"/>
        </w:rPr>
        <w:t xml:space="preserve"> </w:t>
      </w:r>
    </w:p>
    <w:p w14:paraId="7F6A30D6" w14:textId="77777777" w:rsidR="00B64F46" w:rsidRDefault="00DC0569">
      <w:pPr>
        <w:spacing w:after="125" w:line="259" w:lineRule="auto"/>
        <w:ind w:left="1026" w:firstLine="0"/>
      </w:pPr>
      <w:r>
        <w:rPr>
          <w:rFonts w:ascii="Calibri" w:eastAsia="Calibri" w:hAnsi="Calibri" w:cs="Calibri"/>
          <w:b/>
          <w:color w:val="7F7F7F"/>
          <w:sz w:val="52"/>
        </w:rPr>
        <w:t xml:space="preserve"> </w:t>
      </w:r>
    </w:p>
    <w:p w14:paraId="27E07A4E" w14:textId="77777777" w:rsidR="00B64F46" w:rsidRDefault="00DC0569">
      <w:pPr>
        <w:spacing w:after="124" w:line="259" w:lineRule="auto"/>
        <w:ind w:left="1026" w:firstLine="0"/>
      </w:pPr>
      <w:r>
        <w:rPr>
          <w:rFonts w:ascii="Calibri" w:eastAsia="Calibri" w:hAnsi="Calibri" w:cs="Calibri"/>
          <w:b/>
          <w:color w:val="7F7F7F"/>
          <w:sz w:val="52"/>
        </w:rPr>
        <w:t xml:space="preserve"> </w:t>
      </w:r>
    </w:p>
    <w:p w14:paraId="69C0BFDA" w14:textId="77777777" w:rsidR="00B64F46" w:rsidRDefault="00DC0569">
      <w:pPr>
        <w:spacing w:after="125" w:line="259" w:lineRule="auto"/>
        <w:ind w:left="1026" w:firstLine="0"/>
      </w:pPr>
      <w:r>
        <w:rPr>
          <w:rFonts w:ascii="Calibri" w:eastAsia="Calibri" w:hAnsi="Calibri" w:cs="Calibri"/>
          <w:b/>
          <w:color w:val="7F7F7F"/>
          <w:sz w:val="52"/>
        </w:rPr>
        <w:t xml:space="preserve"> </w:t>
      </w:r>
    </w:p>
    <w:p w14:paraId="228CECE8" w14:textId="2BAEA1A3" w:rsidR="00B64F46" w:rsidRDefault="00DC0569" w:rsidP="00DC0569">
      <w:pPr>
        <w:spacing w:after="0" w:line="246" w:lineRule="auto"/>
        <w:ind w:left="1418" w:firstLine="0"/>
        <w:jc w:val="center"/>
      </w:pPr>
      <w:r>
        <w:rPr>
          <w:rFonts w:ascii="Calibri" w:eastAsia="Calibri" w:hAnsi="Calibri" w:cs="Calibri"/>
          <w:b/>
          <w:color w:val="7F7F7F"/>
          <w:sz w:val="52"/>
        </w:rPr>
        <w:t>Engineering UTC SEND Information Report</w:t>
      </w:r>
    </w:p>
    <w:p w14:paraId="13694A8A" w14:textId="77777777" w:rsidR="00B64F46" w:rsidRDefault="00DC0569">
      <w:pPr>
        <w:spacing w:after="157" w:line="259" w:lineRule="auto"/>
        <w:ind w:left="1026" w:firstLine="0"/>
      </w:pPr>
      <w:r>
        <w:rPr>
          <w:b/>
          <w:sz w:val="22"/>
        </w:rPr>
        <w:t xml:space="preserve"> </w:t>
      </w:r>
    </w:p>
    <w:p w14:paraId="495D43D5" w14:textId="77777777" w:rsidR="00B64F46" w:rsidRDefault="00DC0569">
      <w:pPr>
        <w:spacing w:after="162" w:line="259" w:lineRule="auto"/>
        <w:ind w:left="1026" w:firstLine="0"/>
      </w:pPr>
      <w:r>
        <w:rPr>
          <w:b/>
          <w:sz w:val="22"/>
        </w:rPr>
        <w:t xml:space="preserve"> </w:t>
      </w:r>
    </w:p>
    <w:p w14:paraId="1A0028F5" w14:textId="77777777" w:rsidR="00B64F46" w:rsidRDefault="00DC0569">
      <w:pPr>
        <w:spacing w:after="157" w:line="259" w:lineRule="auto"/>
        <w:ind w:left="1026" w:firstLine="0"/>
      </w:pPr>
      <w:r>
        <w:rPr>
          <w:b/>
          <w:sz w:val="22"/>
        </w:rPr>
        <w:t xml:space="preserve"> </w:t>
      </w:r>
    </w:p>
    <w:p w14:paraId="13300C09" w14:textId="77777777" w:rsidR="00B64F46" w:rsidRDefault="00DC0569">
      <w:pPr>
        <w:spacing w:after="162" w:line="259" w:lineRule="auto"/>
        <w:ind w:left="1026" w:firstLine="0"/>
      </w:pPr>
      <w:r>
        <w:rPr>
          <w:b/>
          <w:sz w:val="22"/>
        </w:rPr>
        <w:t xml:space="preserve"> </w:t>
      </w:r>
    </w:p>
    <w:p w14:paraId="354A5E42" w14:textId="77777777" w:rsidR="00B64F46" w:rsidRDefault="00DC0569">
      <w:pPr>
        <w:spacing w:after="162" w:line="259" w:lineRule="auto"/>
        <w:ind w:left="1026" w:firstLine="0"/>
      </w:pPr>
      <w:r>
        <w:rPr>
          <w:b/>
          <w:sz w:val="22"/>
        </w:rPr>
        <w:t xml:space="preserve"> </w:t>
      </w:r>
    </w:p>
    <w:p w14:paraId="010ECB2B" w14:textId="77777777" w:rsidR="00B64F46" w:rsidRDefault="00DC0569">
      <w:pPr>
        <w:spacing w:after="322" w:line="259" w:lineRule="auto"/>
        <w:ind w:left="1026" w:firstLine="0"/>
      </w:pPr>
      <w:r>
        <w:rPr>
          <w:b/>
          <w:sz w:val="22"/>
        </w:rPr>
        <w:t xml:space="preserve"> </w:t>
      </w:r>
    </w:p>
    <w:p w14:paraId="2F94E526" w14:textId="6004C7A2" w:rsidR="00B64F46" w:rsidRDefault="00DA6FA7">
      <w:pPr>
        <w:spacing w:after="0" w:line="365" w:lineRule="auto"/>
        <w:ind w:left="6658" w:firstLine="305"/>
      </w:pPr>
      <w:proofErr w:type="gramStart"/>
      <w:r>
        <w:rPr>
          <w:rFonts w:ascii="Calibri" w:eastAsia="Calibri" w:hAnsi="Calibri" w:cs="Calibri"/>
          <w:b/>
          <w:color w:val="7F7F7F"/>
          <w:sz w:val="40"/>
        </w:rPr>
        <w:t xml:space="preserve">March </w:t>
      </w:r>
      <w:r w:rsidR="00DC0569">
        <w:rPr>
          <w:rFonts w:ascii="Calibri" w:eastAsia="Calibri" w:hAnsi="Calibri" w:cs="Calibri"/>
          <w:b/>
          <w:color w:val="7F7F7F"/>
          <w:sz w:val="40"/>
        </w:rPr>
        <w:t xml:space="preserve"> 20</w:t>
      </w:r>
      <w:r>
        <w:rPr>
          <w:rFonts w:ascii="Calibri" w:eastAsia="Calibri" w:hAnsi="Calibri" w:cs="Calibri"/>
          <w:b/>
          <w:color w:val="7F7F7F"/>
          <w:sz w:val="40"/>
        </w:rPr>
        <w:t>21</w:t>
      </w:r>
      <w:proofErr w:type="gramEnd"/>
      <w:r w:rsidR="00DC0569">
        <w:rPr>
          <w:rFonts w:ascii="Calibri" w:eastAsia="Calibri" w:hAnsi="Calibri" w:cs="Calibri"/>
          <w:b/>
          <w:color w:val="7F7F7F"/>
          <w:sz w:val="40"/>
        </w:rPr>
        <w:t xml:space="preserve"> Anesta McCullagh</w:t>
      </w:r>
      <w:r w:rsidR="00DC0569">
        <w:rPr>
          <w:b/>
          <w:color w:val="7F7F7F"/>
          <w:sz w:val="40"/>
        </w:rPr>
        <w:t xml:space="preserve"> </w:t>
      </w:r>
    </w:p>
    <w:p w14:paraId="7E27A2F1" w14:textId="77777777" w:rsidR="00B64F46" w:rsidRDefault="00DC0569">
      <w:pPr>
        <w:spacing w:after="128" w:line="259" w:lineRule="auto"/>
        <w:ind w:left="0" w:right="1209" w:firstLine="0"/>
        <w:jc w:val="center"/>
      </w:pPr>
      <w:r>
        <w:rPr>
          <w:rFonts w:ascii="Calibri" w:eastAsia="Calibri" w:hAnsi="Calibri" w:cs="Calibri"/>
          <w:b/>
          <w:sz w:val="32"/>
        </w:rPr>
        <w:t xml:space="preserve"> </w:t>
      </w:r>
    </w:p>
    <w:p w14:paraId="3CCE0D0B" w14:textId="77777777" w:rsidR="00DA6FA7" w:rsidRDefault="00DA6FA7" w:rsidP="00DA6FA7">
      <w:pPr>
        <w:tabs>
          <w:tab w:val="left" w:pos="3705"/>
          <w:tab w:val="center" w:pos="4423"/>
        </w:tabs>
        <w:spacing w:after="129" w:line="259" w:lineRule="auto"/>
        <w:ind w:left="0" w:right="1209" w:firstLine="0"/>
        <w:rPr>
          <w:rFonts w:ascii="Calibri" w:eastAsia="Calibri" w:hAnsi="Calibri" w:cs="Calibri"/>
          <w:b/>
          <w:sz w:val="32"/>
        </w:rPr>
      </w:pPr>
      <w:r>
        <w:rPr>
          <w:rFonts w:ascii="Calibri" w:eastAsia="Calibri" w:hAnsi="Calibri" w:cs="Calibri"/>
          <w:b/>
          <w:sz w:val="32"/>
        </w:rPr>
        <w:tab/>
      </w:r>
    </w:p>
    <w:p w14:paraId="27335556" w14:textId="77777777" w:rsidR="00DA6FA7" w:rsidRDefault="00DA6FA7">
      <w:pPr>
        <w:spacing w:after="160" w:line="259" w:lineRule="auto"/>
        <w:ind w:left="0" w:firstLine="0"/>
        <w:rPr>
          <w:rFonts w:ascii="Calibri" w:eastAsia="Calibri" w:hAnsi="Calibri" w:cs="Calibri"/>
          <w:b/>
          <w:sz w:val="32"/>
        </w:rPr>
      </w:pPr>
      <w:r>
        <w:rPr>
          <w:rFonts w:ascii="Calibri" w:eastAsia="Calibri" w:hAnsi="Calibri" w:cs="Calibri"/>
          <w:b/>
          <w:sz w:val="32"/>
        </w:rPr>
        <w:br w:type="page"/>
      </w:r>
    </w:p>
    <w:p w14:paraId="51A2EF79" w14:textId="47D73C5B" w:rsidR="00B64F46" w:rsidRDefault="00DA6FA7" w:rsidP="00DA6FA7">
      <w:pPr>
        <w:tabs>
          <w:tab w:val="left" w:pos="3705"/>
          <w:tab w:val="center" w:pos="4423"/>
        </w:tabs>
        <w:spacing w:after="129" w:line="259" w:lineRule="auto"/>
        <w:ind w:left="0" w:right="1209" w:firstLine="0"/>
      </w:pPr>
      <w:r>
        <w:rPr>
          <w:rFonts w:ascii="Calibri" w:eastAsia="Calibri" w:hAnsi="Calibri" w:cs="Calibri"/>
          <w:b/>
          <w:sz w:val="32"/>
        </w:rPr>
        <w:lastRenderedPageBreak/>
        <w:tab/>
      </w:r>
      <w:r w:rsidR="00DC0569">
        <w:rPr>
          <w:rFonts w:ascii="Calibri" w:eastAsia="Calibri" w:hAnsi="Calibri" w:cs="Calibri"/>
          <w:b/>
          <w:sz w:val="32"/>
        </w:rPr>
        <w:t xml:space="preserve"> </w:t>
      </w:r>
    </w:p>
    <w:p w14:paraId="72C9D72F" w14:textId="77777777" w:rsidR="00B64F46" w:rsidRDefault="00DC0569">
      <w:pPr>
        <w:spacing w:after="128" w:line="259" w:lineRule="auto"/>
        <w:ind w:left="0" w:right="1209" w:firstLine="0"/>
        <w:jc w:val="center"/>
      </w:pPr>
      <w:r>
        <w:rPr>
          <w:rFonts w:ascii="Calibri" w:eastAsia="Calibri" w:hAnsi="Calibri" w:cs="Calibri"/>
          <w:b/>
          <w:sz w:val="32"/>
        </w:rPr>
        <w:t xml:space="preserve"> </w:t>
      </w:r>
    </w:p>
    <w:p w14:paraId="44512B4C" w14:textId="77777777" w:rsidR="00B64F46" w:rsidRDefault="00DC0569">
      <w:pPr>
        <w:spacing w:after="143" w:line="259" w:lineRule="auto"/>
        <w:ind w:left="0" w:right="1209" w:firstLine="0"/>
        <w:jc w:val="center"/>
      </w:pPr>
      <w:r>
        <w:rPr>
          <w:rFonts w:ascii="Calibri" w:eastAsia="Calibri" w:hAnsi="Calibri" w:cs="Calibri"/>
          <w:b/>
          <w:sz w:val="32"/>
        </w:rPr>
        <w:t xml:space="preserve"> </w:t>
      </w:r>
    </w:p>
    <w:p w14:paraId="78F6DAF2" w14:textId="77777777" w:rsidR="00B64F46" w:rsidRDefault="00DC0569">
      <w:pPr>
        <w:tabs>
          <w:tab w:val="center" w:pos="1026"/>
          <w:tab w:val="center" w:pos="5578"/>
        </w:tabs>
        <w:spacing w:after="37" w:line="259" w:lineRule="auto"/>
        <w:ind w:left="0" w:firstLine="0"/>
      </w:pPr>
      <w:r>
        <w:rPr>
          <w:rFonts w:ascii="Calibri" w:eastAsia="Calibri" w:hAnsi="Calibri" w:cs="Calibri"/>
          <w:sz w:val="22"/>
        </w:rPr>
        <w:tab/>
      </w:r>
      <w:r>
        <w:rPr>
          <w:rFonts w:ascii="Times New Roman" w:eastAsia="Times New Roman" w:hAnsi="Times New Roman" w:cs="Times New Roman"/>
        </w:rPr>
        <w:t xml:space="preserve"> </w:t>
      </w:r>
      <w:r>
        <w:rPr>
          <w:rFonts w:ascii="Times New Roman" w:eastAsia="Times New Roman" w:hAnsi="Times New Roman" w:cs="Times New Roman"/>
        </w:rPr>
        <w:tab/>
      </w:r>
      <w:r>
        <w:rPr>
          <w:rFonts w:ascii="Calibri" w:eastAsia="Calibri" w:hAnsi="Calibri" w:cs="Calibri"/>
          <w:b/>
          <w:sz w:val="32"/>
        </w:rPr>
        <w:t xml:space="preserve">  Document control table </w:t>
      </w:r>
    </w:p>
    <w:p w14:paraId="313A7C09" w14:textId="77777777" w:rsidR="00B64F46" w:rsidRDefault="00DC0569">
      <w:pPr>
        <w:spacing w:after="29" w:line="259" w:lineRule="auto"/>
        <w:ind w:left="1026" w:firstLine="0"/>
      </w:pPr>
      <w:r>
        <w:rPr>
          <w:rFonts w:ascii="Times New Roman" w:eastAsia="Times New Roman" w:hAnsi="Times New Roman" w:cs="Times New Roman"/>
          <w:sz w:val="11"/>
        </w:rPr>
        <w:t xml:space="preserve"> </w:t>
      </w:r>
      <w:r>
        <w:rPr>
          <w:rFonts w:ascii="Times New Roman" w:eastAsia="Times New Roman" w:hAnsi="Times New Roman" w:cs="Times New Roman"/>
          <w:sz w:val="11"/>
        </w:rPr>
        <w:tab/>
        <w:t xml:space="preserve"> </w:t>
      </w:r>
    </w:p>
    <w:tbl>
      <w:tblPr>
        <w:tblStyle w:val="TableGrid"/>
        <w:tblW w:w="9880" w:type="dxa"/>
        <w:tblInd w:w="1011" w:type="dxa"/>
        <w:tblCellMar>
          <w:top w:w="60" w:type="dxa"/>
          <w:right w:w="115" w:type="dxa"/>
        </w:tblCellMar>
        <w:tblLook w:val="04A0" w:firstRow="1" w:lastRow="0" w:firstColumn="1" w:lastColumn="0" w:noHBand="0" w:noVBand="1"/>
      </w:tblPr>
      <w:tblGrid>
        <w:gridCol w:w="2917"/>
        <w:gridCol w:w="6963"/>
      </w:tblGrid>
      <w:tr w:rsidR="00B64F46" w14:paraId="2A6DAB20" w14:textId="77777777">
        <w:trPr>
          <w:trHeight w:val="875"/>
        </w:trPr>
        <w:tc>
          <w:tcPr>
            <w:tcW w:w="2917" w:type="dxa"/>
            <w:tcBorders>
              <w:top w:val="single" w:sz="8" w:space="0" w:color="000000"/>
              <w:left w:val="nil"/>
              <w:bottom w:val="single" w:sz="8" w:space="0" w:color="000000"/>
              <w:right w:val="single" w:sz="8" w:space="0" w:color="000000"/>
            </w:tcBorders>
          </w:tcPr>
          <w:p w14:paraId="2BB54481" w14:textId="77777777" w:rsidR="00B64F46" w:rsidRDefault="00DC0569">
            <w:pPr>
              <w:spacing w:after="129" w:line="259" w:lineRule="auto"/>
              <w:ind w:left="135" w:firstLine="0"/>
            </w:pPr>
            <w:r>
              <w:rPr>
                <w:rFonts w:ascii="Calibri" w:eastAsia="Calibri" w:hAnsi="Calibri" w:cs="Calibri"/>
                <w:b/>
              </w:rPr>
              <w:t xml:space="preserve">Document title: </w:t>
            </w:r>
          </w:p>
          <w:p w14:paraId="6411DD88" w14:textId="77777777" w:rsidR="00B64F46" w:rsidRDefault="00DC0569">
            <w:pPr>
              <w:spacing w:after="0" w:line="259" w:lineRule="auto"/>
              <w:ind w:left="15" w:firstLine="0"/>
            </w:pPr>
            <w:r>
              <w:rPr>
                <w:rFonts w:ascii="Times New Roman" w:eastAsia="Times New Roman" w:hAnsi="Times New Roman" w:cs="Times New Roman"/>
                <w:sz w:val="10"/>
              </w:rPr>
              <w:t xml:space="preserve"> </w:t>
            </w:r>
          </w:p>
        </w:tc>
        <w:tc>
          <w:tcPr>
            <w:tcW w:w="6963" w:type="dxa"/>
            <w:tcBorders>
              <w:top w:val="single" w:sz="8" w:space="0" w:color="000000"/>
              <w:left w:val="single" w:sz="8" w:space="0" w:color="000000"/>
              <w:bottom w:val="single" w:sz="8" w:space="0" w:color="000000"/>
              <w:right w:val="nil"/>
            </w:tcBorders>
          </w:tcPr>
          <w:p w14:paraId="1C6C8DFD" w14:textId="77777777" w:rsidR="00B64F46" w:rsidRDefault="00DC0569">
            <w:pPr>
              <w:spacing w:after="129" w:line="259" w:lineRule="auto"/>
              <w:ind w:left="80" w:firstLine="0"/>
            </w:pPr>
            <w:r>
              <w:rPr>
                <w:rFonts w:ascii="Calibri" w:eastAsia="Calibri" w:hAnsi="Calibri" w:cs="Calibri"/>
              </w:rPr>
              <w:t xml:space="preserve">SEND Information Report </w:t>
            </w:r>
          </w:p>
          <w:p w14:paraId="0B8FE5C0" w14:textId="77777777" w:rsidR="00B64F46" w:rsidRDefault="00DC0569">
            <w:pPr>
              <w:spacing w:after="0" w:line="259" w:lineRule="auto"/>
              <w:ind w:left="0" w:firstLine="0"/>
            </w:pPr>
            <w:r>
              <w:rPr>
                <w:rFonts w:ascii="Times New Roman" w:eastAsia="Times New Roman" w:hAnsi="Times New Roman" w:cs="Times New Roman"/>
                <w:sz w:val="10"/>
              </w:rPr>
              <w:t xml:space="preserve"> </w:t>
            </w:r>
          </w:p>
        </w:tc>
      </w:tr>
      <w:tr w:rsidR="00B64F46" w14:paraId="1833253F" w14:textId="77777777">
        <w:trPr>
          <w:trHeight w:val="1325"/>
        </w:trPr>
        <w:tc>
          <w:tcPr>
            <w:tcW w:w="2917" w:type="dxa"/>
            <w:tcBorders>
              <w:top w:val="single" w:sz="8" w:space="0" w:color="000000"/>
              <w:left w:val="nil"/>
              <w:bottom w:val="single" w:sz="8" w:space="0" w:color="000000"/>
              <w:right w:val="single" w:sz="8" w:space="0" w:color="000000"/>
            </w:tcBorders>
          </w:tcPr>
          <w:p w14:paraId="4C4AC331" w14:textId="77777777" w:rsidR="00B64F46" w:rsidRDefault="00DC0569">
            <w:pPr>
              <w:spacing w:after="149" w:line="259" w:lineRule="auto"/>
              <w:ind w:left="135" w:firstLine="0"/>
            </w:pPr>
            <w:r>
              <w:rPr>
                <w:rFonts w:ascii="Calibri" w:eastAsia="Calibri" w:hAnsi="Calibri" w:cs="Calibri"/>
                <w:b/>
              </w:rPr>
              <w:t xml:space="preserve">Author (name &amp; job title): </w:t>
            </w:r>
          </w:p>
          <w:p w14:paraId="6B2EFD19" w14:textId="77777777" w:rsidR="00B64F46" w:rsidRDefault="00DC0569">
            <w:pPr>
              <w:spacing w:after="130" w:line="259" w:lineRule="auto"/>
              <w:ind w:left="15" w:firstLine="0"/>
            </w:pPr>
            <w:r>
              <w:rPr>
                <w:rFonts w:ascii="Times New Roman" w:eastAsia="Times New Roman" w:hAnsi="Times New Roman" w:cs="Times New Roman"/>
              </w:rPr>
              <w:t xml:space="preserve"> </w:t>
            </w:r>
          </w:p>
          <w:p w14:paraId="04B0A12C" w14:textId="77777777" w:rsidR="00B64F46" w:rsidRDefault="00DC0569">
            <w:pPr>
              <w:spacing w:after="0" w:line="259" w:lineRule="auto"/>
              <w:ind w:left="15" w:firstLine="0"/>
            </w:pPr>
            <w:r>
              <w:rPr>
                <w:rFonts w:ascii="Times New Roman" w:eastAsia="Times New Roman" w:hAnsi="Times New Roman" w:cs="Times New Roman"/>
                <w:sz w:val="10"/>
              </w:rPr>
              <w:t xml:space="preserve"> </w:t>
            </w:r>
          </w:p>
        </w:tc>
        <w:tc>
          <w:tcPr>
            <w:tcW w:w="6963" w:type="dxa"/>
            <w:tcBorders>
              <w:top w:val="single" w:sz="8" w:space="0" w:color="000000"/>
              <w:left w:val="single" w:sz="8" w:space="0" w:color="000000"/>
              <w:bottom w:val="single" w:sz="8" w:space="0" w:color="000000"/>
              <w:right w:val="nil"/>
            </w:tcBorders>
          </w:tcPr>
          <w:p w14:paraId="0723B67B" w14:textId="77777777" w:rsidR="00B64F46" w:rsidRDefault="00DC0569">
            <w:pPr>
              <w:spacing w:after="139" w:line="259" w:lineRule="auto"/>
              <w:ind w:left="80" w:firstLine="0"/>
            </w:pPr>
            <w:r>
              <w:rPr>
                <w:rFonts w:ascii="Calibri" w:eastAsia="Calibri" w:hAnsi="Calibri" w:cs="Calibri"/>
              </w:rPr>
              <w:t xml:space="preserve">A McCullagh Principal </w:t>
            </w:r>
          </w:p>
          <w:p w14:paraId="001C4795" w14:textId="77777777" w:rsidR="00B64F46" w:rsidRDefault="00DC0569">
            <w:pPr>
              <w:spacing w:after="124" w:line="259" w:lineRule="auto"/>
              <w:ind w:left="80" w:firstLine="0"/>
            </w:pPr>
            <w:r>
              <w:rPr>
                <w:rFonts w:ascii="Calibri" w:eastAsia="Calibri" w:hAnsi="Calibri" w:cs="Calibri"/>
              </w:rPr>
              <w:t xml:space="preserve"> </w:t>
            </w:r>
          </w:p>
          <w:p w14:paraId="57F2C9C3" w14:textId="77777777" w:rsidR="00B64F46" w:rsidRDefault="00DC0569">
            <w:pPr>
              <w:spacing w:after="0" w:line="259" w:lineRule="auto"/>
              <w:ind w:left="0" w:firstLine="0"/>
            </w:pPr>
            <w:r>
              <w:rPr>
                <w:rFonts w:ascii="Times New Roman" w:eastAsia="Times New Roman" w:hAnsi="Times New Roman" w:cs="Times New Roman"/>
                <w:sz w:val="10"/>
              </w:rPr>
              <w:t xml:space="preserve"> </w:t>
            </w:r>
          </w:p>
        </w:tc>
      </w:tr>
      <w:tr w:rsidR="00B64F46" w14:paraId="15CC51F0" w14:textId="77777777">
        <w:trPr>
          <w:trHeight w:val="875"/>
        </w:trPr>
        <w:tc>
          <w:tcPr>
            <w:tcW w:w="2917" w:type="dxa"/>
            <w:tcBorders>
              <w:top w:val="single" w:sz="8" w:space="0" w:color="000000"/>
              <w:left w:val="nil"/>
              <w:bottom w:val="single" w:sz="8" w:space="0" w:color="000000"/>
              <w:right w:val="single" w:sz="8" w:space="0" w:color="000000"/>
            </w:tcBorders>
          </w:tcPr>
          <w:p w14:paraId="7D2896DC" w14:textId="77777777" w:rsidR="00B64F46" w:rsidRDefault="00DC0569">
            <w:pPr>
              <w:spacing w:after="129" w:line="259" w:lineRule="auto"/>
              <w:ind w:left="135" w:firstLine="0"/>
            </w:pPr>
            <w:r>
              <w:rPr>
                <w:rFonts w:ascii="Calibri" w:eastAsia="Calibri" w:hAnsi="Calibri" w:cs="Calibri"/>
                <w:b/>
              </w:rPr>
              <w:t xml:space="preserve">Acknowledgement </w:t>
            </w:r>
          </w:p>
          <w:p w14:paraId="19305FE0" w14:textId="77777777" w:rsidR="00B64F46" w:rsidRDefault="00DC0569">
            <w:pPr>
              <w:spacing w:after="0" w:line="259" w:lineRule="auto"/>
              <w:ind w:left="15" w:firstLine="0"/>
            </w:pPr>
            <w:r>
              <w:rPr>
                <w:rFonts w:ascii="Times New Roman" w:eastAsia="Times New Roman" w:hAnsi="Times New Roman" w:cs="Times New Roman"/>
                <w:sz w:val="11"/>
              </w:rPr>
              <w:t xml:space="preserve"> </w:t>
            </w:r>
          </w:p>
        </w:tc>
        <w:tc>
          <w:tcPr>
            <w:tcW w:w="6963" w:type="dxa"/>
            <w:tcBorders>
              <w:top w:val="single" w:sz="8" w:space="0" w:color="000000"/>
              <w:left w:val="single" w:sz="8" w:space="0" w:color="000000"/>
              <w:bottom w:val="single" w:sz="8" w:space="0" w:color="000000"/>
              <w:right w:val="nil"/>
            </w:tcBorders>
          </w:tcPr>
          <w:p w14:paraId="6FDAC1DB" w14:textId="77777777" w:rsidR="00B64F46" w:rsidRDefault="00DC0569">
            <w:pPr>
              <w:spacing w:after="129" w:line="259" w:lineRule="auto"/>
              <w:ind w:left="80" w:firstLine="0"/>
            </w:pPr>
            <w:r>
              <w:rPr>
                <w:rFonts w:ascii="Calibri" w:eastAsia="Calibri" w:hAnsi="Calibri" w:cs="Calibri"/>
              </w:rPr>
              <w:t xml:space="preserve"> </w:t>
            </w:r>
          </w:p>
          <w:p w14:paraId="364BD237" w14:textId="77777777" w:rsidR="00B64F46" w:rsidRDefault="00DC0569">
            <w:pPr>
              <w:spacing w:after="0" w:line="259" w:lineRule="auto"/>
              <w:ind w:left="0" w:firstLine="0"/>
            </w:pPr>
            <w:r>
              <w:rPr>
                <w:rFonts w:ascii="Times New Roman" w:eastAsia="Times New Roman" w:hAnsi="Times New Roman" w:cs="Times New Roman"/>
                <w:sz w:val="11"/>
              </w:rPr>
              <w:t xml:space="preserve"> </w:t>
            </w:r>
          </w:p>
        </w:tc>
      </w:tr>
      <w:tr w:rsidR="00B64F46" w14:paraId="7D755440" w14:textId="77777777">
        <w:trPr>
          <w:trHeight w:val="870"/>
        </w:trPr>
        <w:tc>
          <w:tcPr>
            <w:tcW w:w="2917" w:type="dxa"/>
            <w:tcBorders>
              <w:top w:val="single" w:sz="8" w:space="0" w:color="000000"/>
              <w:left w:val="nil"/>
              <w:bottom w:val="single" w:sz="8" w:space="0" w:color="000000"/>
              <w:right w:val="single" w:sz="8" w:space="0" w:color="000000"/>
            </w:tcBorders>
          </w:tcPr>
          <w:p w14:paraId="5A702260" w14:textId="77777777" w:rsidR="00B64F46" w:rsidRDefault="00DC0569">
            <w:pPr>
              <w:spacing w:after="124" w:line="259" w:lineRule="auto"/>
              <w:ind w:left="135" w:firstLine="0"/>
            </w:pPr>
            <w:r>
              <w:rPr>
                <w:rFonts w:ascii="Calibri" w:eastAsia="Calibri" w:hAnsi="Calibri" w:cs="Calibri"/>
                <w:b/>
              </w:rPr>
              <w:t xml:space="preserve">Version number: </w:t>
            </w:r>
          </w:p>
          <w:p w14:paraId="1AE3B3F0" w14:textId="77777777" w:rsidR="00B64F46" w:rsidRDefault="00DC0569">
            <w:pPr>
              <w:spacing w:after="0" w:line="259" w:lineRule="auto"/>
              <w:ind w:left="15" w:firstLine="0"/>
            </w:pPr>
            <w:r>
              <w:rPr>
                <w:rFonts w:ascii="Times New Roman" w:eastAsia="Times New Roman" w:hAnsi="Times New Roman" w:cs="Times New Roman"/>
                <w:sz w:val="10"/>
              </w:rPr>
              <w:t xml:space="preserve"> </w:t>
            </w:r>
          </w:p>
        </w:tc>
        <w:tc>
          <w:tcPr>
            <w:tcW w:w="6963" w:type="dxa"/>
            <w:tcBorders>
              <w:top w:val="single" w:sz="8" w:space="0" w:color="000000"/>
              <w:left w:val="single" w:sz="8" w:space="0" w:color="000000"/>
              <w:bottom w:val="single" w:sz="8" w:space="0" w:color="000000"/>
              <w:right w:val="nil"/>
            </w:tcBorders>
          </w:tcPr>
          <w:p w14:paraId="2C7AC9B7" w14:textId="07C9E71E" w:rsidR="00B64F46" w:rsidRDefault="00DC0569">
            <w:pPr>
              <w:spacing w:after="124" w:line="259" w:lineRule="auto"/>
              <w:ind w:left="80" w:firstLine="0"/>
            </w:pPr>
            <w:r>
              <w:rPr>
                <w:rFonts w:ascii="Calibri" w:eastAsia="Calibri" w:hAnsi="Calibri" w:cs="Calibri"/>
              </w:rPr>
              <w:t>V</w:t>
            </w:r>
            <w:r w:rsidR="00DA6FA7">
              <w:rPr>
                <w:rFonts w:ascii="Calibri" w:eastAsia="Calibri" w:hAnsi="Calibri" w:cs="Calibri"/>
              </w:rPr>
              <w:t>3</w:t>
            </w:r>
            <w:r>
              <w:rPr>
                <w:rFonts w:ascii="Calibri" w:eastAsia="Calibri" w:hAnsi="Calibri" w:cs="Calibri"/>
              </w:rPr>
              <w:t xml:space="preserve"> </w:t>
            </w:r>
            <w:r w:rsidR="00DA6FA7">
              <w:rPr>
                <w:rFonts w:ascii="Calibri" w:eastAsia="Calibri" w:hAnsi="Calibri" w:cs="Calibri"/>
              </w:rPr>
              <w:t>Mar</w:t>
            </w:r>
            <w:r>
              <w:rPr>
                <w:rFonts w:ascii="Calibri" w:eastAsia="Calibri" w:hAnsi="Calibri" w:cs="Calibri"/>
              </w:rPr>
              <w:t xml:space="preserve"> 20</w:t>
            </w:r>
            <w:r w:rsidR="00DA6FA7">
              <w:rPr>
                <w:rFonts w:ascii="Calibri" w:eastAsia="Calibri" w:hAnsi="Calibri" w:cs="Calibri"/>
              </w:rPr>
              <w:t>21</w:t>
            </w:r>
            <w:r>
              <w:rPr>
                <w:rFonts w:ascii="Calibri" w:eastAsia="Calibri" w:hAnsi="Calibri" w:cs="Calibri"/>
              </w:rPr>
              <w:t xml:space="preserve"> </w:t>
            </w:r>
          </w:p>
          <w:p w14:paraId="7D994EEA" w14:textId="77777777" w:rsidR="00B64F46" w:rsidRDefault="00DC0569">
            <w:pPr>
              <w:spacing w:after="0" w:line="259" w:lineRule="auto"/>
              <w:ind w:left="0" w:firstLine="0"/>
            </w:pPr>
            <w:r>
              <w:rPr>
                <w:rFonts w:ascii="Times New Roman" w:eastAsia="Times New Roman" w:hAnsi="Times New Roman" w:cs="Times New Roman"/>
                <w:sz w:val="10"/>
              </w:rPr>
              <w:t xml:space="preserve"> </w:t>
            </w:r>
          </w:p>
        </w:tc>
      </w:tr>
      <w:tr w:rsidR="00B64F46" w14:paraId="1B0A099C" w14:textId="77777777">
        <w:trPr>
          <w:trHeight w:val="876"/>
        </w:trPr>
        <w:tc>
          <w:tcPr>
            <w:tcW w:w="2917" w:type="dxa"/>
            <w:tcBorders>
              <w:top w:val="single" w:sz="8" w:space="0" w:color="000000"/>
              <w:left w:val="nil"/>
              <w:bottom w:val="single" w:sz="8" w:space="0" w:color="000000"/>
              <w:right w:val="single" w:sz="8" w:space="0" w:color="000000"/>
            </w:tcBorders>
          </w:tcPr>
          <w:p w14:paraId="192E1529" w14:textId="77777777" w:rsidR="00B64F46" w:rsidRDefault="00DC0569">
            <w:pPr>
              <w:spacing w:after="129" w:line="259" w:lineRule="auto"/>
              <w:ind w:left="135" w:firstLine="0"/>
            </w:pPr>
            <w:r>
              <w:rPr>
                <w:rFonts w:ascii="Calibri" w:eastAsia="Calibri" w:hAnsi="Calibri" w:cs="Calibri"/>
                <w:b/>
              </w:rPr>
              <w:t xml:space="preserve">Date approved: </w:t>
            </w:r>
          </w:p>
          <w:p w14:paraId="17EE8DC1" w14:textId="77777777" w:rsidR="00B64F46" w:rsidRDefault="00DC0569">
            <w:pPr>
              <w:spacing w:after="0" w:line="259" w:lineRule="auto"/>
              <w:ind w:left="15" w:firstLine="0"/>
            </w:pPr>
            <w:r>
              <w:rPr>
                <w:rFonts w:ascii="Times New Roman" w:eastAsia="Times New Roman" w:hAnsi="Times New Roman" w:cs="Times New Roman"/>
                <w:sz w:val="10"/>
              </w:rPr>
              <w:t xml:space="preserve"> </w:t>
            </w:r>
          </w:p>
        </w:tc>
        <w:tc>
          <w:tcPr>
            <w:tcW w:w="6963" w:type="dxa"/>
            <w:tcBorders>
              <w:top w:val="single" w:sz="8" w:space="0" w:color="000000"/>
              <w:left w:val="single" w:sz="8" w:space="0" w:color="000000"/>
              <w:bottom w:val="single" w:sz="8" w:space="0" w:color="000000"/>
              <w:right w:val="nil"/>
            </w:tcBorders>
          </w:tcPr>
          <w:p w14:paraId="35C0E002" w14:textId="455A1FBB" w:rsidR="00B64F46" w:rsidRDefault="00DA6FA7">
            <w:pPr>
              <w:spacing w:after="129" w:line="259" w:lineRule="auto"/>
              <w:ind w:left="80" w:firstLine="0"/>
            </w:pPr>
            <w:r>
              <w:t>……………..</w:t>
            </w:r>
          </w:p>
          <w:p w14:paraId="435E7DB9" w14:textId="77777777" w:rsidR="00B64F46" w:rsidRDefault="00DC0569">
            <w:pPr>
              <w:spacing w:after="0" w:line="259" w:lineRule="auto"/>
              <w:ind w:left="0" w:firstLine="0"/>
            </w:pPr>
            <w:r>
              <w:rPr>
                <w:rFonts w:ascii="Times New Roman" w:eastAsia="Times New Roman" w:hAnsi="Times New Roman" w:cs="Times New Roman"/>
                <w:sz w:val="10"/>
              </w:rPr>
              <w:t xml:space="preserve"> </w:t>
            </w:r>
          </w:p>
        </w:tc>
      </w:tr>
      <w:tr w:rsidR="00B64F46" w14:paraId="23B53DF7" w14:textId="77777777">
        <w:trPr>
          <w:trHeight w:val="875"/>
        </w:trPr>
        <w:tc>
          <w:tcPr>
            <w:tcW w:w="2917" w:type="dxa"/>
            <w:tcBorders>
              <w:top w:val="single" w:sz="8" w:space="0" w:color="000000"/>
              <w:left w:val="nil"/>
              <w:bottom w:val="single" w:sz="8" w:space="0" w:color="000000"/>
              <w:right w:val="single" w:sz="8" w:space="0" w:color="000000"/>
            </w:tcBorders>
          </w:tcPr>
          <w:p w14:paraId="6B1F729F" w14:textId="77777777" w:rsidR="00B64F46" w:rsidRDefault="00DC0569">
            <w:pPr>
              <w:spacing w:after="129" w:line="259" w:lineRule="auto"/>
              <w:ind w:left="135" w:firstLine="0"/>
            </w:pPr>
            <w:r>
              <w:rPr>
                <w:rFonts w:ascii="Calibri" w:eastAsia="Calibri" w:hAnsi="Calibri" w:cs="Calibri"/>
                <w:b/>
              </w:rPr>
              <w:t xml:space="preserve">Approved by: </w:t>
            </w:r>
          </w:p>
          <w:p w14:paraId="307D2C82" w14:textId="77777777" w:rsidR="00B64F46" w:rsidRDefault="00DC0569">
            <w:pPr>
              <w:spacing w:after="0" w:line="259" w:lineRule="auto"/>
              <w:ind w:left="15" w:firstLine="0"/>
            </w:pPr>
            <w:r>
              <w:rPr>
                <w:rFonts w:ascii="Times New Roman" w:eastAsia="Times New Roman" w:hAnsi="Times New Roman" w:cs="Times New Roman"/>
                <w:sz w:val="10"/>
              </w:rPr>
              <w:t xml:space="preserve"> </w:t>
            </w:r>
          </w:p>
        </w:tc>
        <w:tc>
          <w:tcPr>
            <w:tcW w:w="6963" w:type="dxa"/>
            <w:tcBorders>
              <w:top w:val="single" w:sz="8" w:space="0" w:color="000000"/>
              <w:left w:val="single" w:sz="8" w:space="0" w:color="000000"/>
              <w:bottom w:val="single" w:sz="8" w:space="0" w:color="000000"/>
              <w:right w:val="nil"/>
            </w:tcBorders>
          </w:tcPr>
          <w:p w14:paraId="4D213CAF" w14:textId="77777777" w:rsidR="00B64F46" w:rsidRDefault="00DC0569">
            <w:pPr>
              <w:spacing w:after="129" w:line="259" w:lineRule="auto"/>
              <w:ind w:left="80" w:firstLine="0"/>
            </w:pPr>
            <w:r>
              <w:rPr>
                <w:rFonts w:ascii="Calibri" w:eastAsia="Calibri" w:hAnsi="Calibri" w:cs="Calibri"/>
              </w:rPr>
              <w:t xml:space="preserve">UTC Board </w:t>
            </w:r>
          </w:p>
          <w:p w14:paraId="0F21EE07" w14:textId="77777777" w:rsidR="00B64F46" w:rsidRDefault="00DC0569">
            <w:pPr>
              <w:spacing w:after="0" w:line="259" w:lineRule="auto"/>
              <w:ind w:left="0" w:firstLine="0"/>
            </w:pPr>
            <w:r>
              <w:rPr>
                <w:rFonts w:ascii="Times New Roman" w:eastAsia="Times New Roman" w:hAnsi="Times New Roman" w:cs="Times New Roman"/>
                <w:sz w:val="10"/>
              </w:rPr>
              <w:t xml:space="preserve"> </w:t>
            </w:r>
          </w:p>
        </w:tc>
      </w:tr>
      <w:tr w:rsidR="00B64F46" w14:paraId="64CEC19B" w14:textId="77777777">
        <w:trPr>
          <w:trHeight w:val="870"/>
        </w:trPr>
        <w:tc>
          <w:tcPr>
            <w:tcW w:w="2917" w:type="dxa"/>
            <w:tcBorders>
              <w:top w:val="single" w:sz="8" w:space="0" w:color="000000"/>
              <w:left w:val="nil"/>
              <w:bottom w:val="single" w:sz="8" w:space="0" w:color="000000"/>
              <w:right w:val="single" w:sz="8" w:space="0" w:color="000000"/>
            </w:tcBorders>
          </w:tcPr>
          <w:p w14:paraId="7B16E1C7" w14:textId="77777777" w:rsidR="00B64F46" w:rsidRDefault="00DC0569">
            <w:pPr>
              <w:spacing w:after="124" w:line="259" w:lineRule="auto"/>
              <w:ind w:left="135" w:firstLine="0"/>
            </w:pPr>
            <w:r>
              <w:rPr>
                <w:rFonts w:ascii="Calibri" w:eastAsia="Calibri" w:hAnsi="Calibri" w:cs="Calibri"/>
                <w:b/>
              </w:rPr>
              <w:t xml:space="preserve">Date of review: </w:t>
            </w:r>
          </w:p>
          <w:p w14:paraId="37E08036" w14:textId="77777777" w:rsidR="00B64F46" w:rsidRDefault="00DC0569">
            <w:pPr>
              <w:spacing w:after="0" w:line="259" w:lineRule="auto"/>
              <w:ind w:left="15" w:firstLine="0"/>
            </w:pPr>
            <w:r>
              <w:rPr>
                <w:rFonts w:ascii="Times New Roman" w:eastAsia="Times New Roman" w:hAnsi="Times New Roman" w:cs="Times New Roman"/>
                <w:sz w:val="10"/>
              </w:rPr>
              <w:t xml:space="preserve"> </w:t>
            </w:r>
          </w:p>
        </w:tc>
        <w:tc>
          <w:tcPr>
            <w:tcW w:w="6963" w:type="dxa"/>
            <w:tcBorders>
              <w:top w:val="single" w:sz="8" w:space="0" w:color="000000"/>
              <w:left w:val="single" w:sz="8" w:space="0" w:color="000000"/>
              <w:bottom w:val="single" w:sz="8" w:space="0" w:color="000000"/>
              <w:right w:val="nil"/>
            </w:tcBorders>
          </w:tcPr>
          <w:p w14:paraId="3AA36744" w14:textId="753C73CF" w:rsidR="00B64F46" w:rsidRDefault="00DA6FA7">
            <w:pPr>
              <w:spacing w:after="124" w:line="259" w:lineRule="auto"/>
              <w:ind w:left="80" w:firstLine="0"/>
            </w:pPr>
            <w:r>
              <w:t>March 2022</w:t>
            </w:r>
          </w:p>
          <w:p w14:paraId="29BD78C4" w14:textId="77777777" w:rsidR="00B64F46" w:rsidRDefault="00DC0569">
            <w:pPr>
              <w:spacing w:after="0" w:line="259" w:lineRule="auto"/>
              <w:ind w:left="0" w:firstLine="0"/>
            </w:pPr>
            <w:r>
              <w:rPr>
                <w:rFonts w:ascii="Times New Roman" w:eastAsia="Times New Roman" w:hAnsi="Times New Roman" w:cs="Times New Roman"/>
                <w:sz w:val="10"/>
              </w:rPr>
              <w:t xml:space="preserve"> </w:t>
            </w:r>
          </w:p>
        </w:tc>
      </w:tr>
    </w:tbl>
    <w:p w14:paraId="6AE63F4F" w14:textId="77777777" w:rsidR="00B64F46" w:rsidRDefault="00DC0569">
      <w:pPr>
        <w:spacing w:after="0" w:line="251" w:lineRule="auto"/>
        <w:ind w:left="1026" w:right="6082" w:firstLine="0"/>
        <w:jc w:val="right"/>
      </w:pPr>
      <w:r>
        <w:rPr>
          <w:b/>
        </w:rPr>
        <w:t xml:space="preserve"> </w:t>
      </w:r>
      <w:r>
        <w:rPr>
          <w:b/>
          <w:sz w:val="22"/>
        </w:rPr>
        <w:t xml:space="preserve"> </w:t>
      </w:r>
      <w:r>
        <w:rPr>
          <w:b/>
          <w:sz w:val="22"/>
        </w:rPr>
        <w:tab/>
      </w:r>
      <w:r>
        <w:rPr>
          <w:b/>
        </w:rPr>
        <w:t xml:space="preserve"> </w:t>
      </w:r>
    </w:p>
    <w:p w14:paraId="79C2E4CA" w14:textId="77777777" w:rsidR="00DA6FA7" w:rsidRDefault="00DA6FA7">
      <w:pPr>
        <w:spacing w:after="160" w:line="259" w:lineRule="auto"/>
        <w:ind w:left="0" w:firstLine="0"/>
        <w:rPr>
          <w:b/>
        </w:rPr>
      </w:pPr>
      <w:r>
        <w:rPr>
          <w:b/>
        </w:rPr>
        <w:br w:type="page"/>
      </w:r>
    </w:p>
    <w:p w14:paraId="1E179809" w14:textId="2B33B566" w:rsidR="00B64F46" w:rsidRDefault="00DC0569">
      <w:pPr>
        <w:spacing w:after="4" w:line="251" w:lineRule="auto"/>
        <w:ind w:left="1026" w:firstLine="0"/>
      </w:pPr>
      <w:r>
        <w:rPr>
          <w:b/>
        </w:rPr>
        <w:lastRenderedPageBreak/>
        <w:t xml:space="preserve">The Primary areas of SEND in the new Code of </w:t>
      </w:r>
      <w:proofErr w:type="gramStart"/>
      <w:r>
        <w:rPr>
          <w:b/>
        </w:rPr>
        <w:t>Practice,</w:t>
      </w:r>
      <w:proofErr w:type="gramEnd"/>
      <w:r>
        <w:rPr>
          <w:b/>
        </w:rPr>
        <w:t xml:space="preserve"> are:</w:t>
      </w:r>
      <w:r>
        <w:t xml:space="preserve"> </w:t>
      </w:r>
    </w:p>
    <w:p w14:paraId="0A305F20" w14:textId="77777777" w:rsidR="00B64F46" w:rsidRDefault="00DC0569">
      <w:pPr>
        <w:numPr>
          <w:ilvl w:val="0"/>
          <w:numId w:val="1"/>
        </w:numPr>
        <w:spacing w:after="10"/>
        <w:ind w:hanging="360"/>
      </w:pPr>
      <w:r>
        <w:t xml:space="preserve">Communication and Interaction </w:t>
      </w:r>
    </w:p>
    <w:p w14:paraId="7CBDF788" w14:textId="77777777" w:rsidR="00B64F46" w:rsidRDefault="00DC0569">
      <w:pPr>
        <w:numPr>
          <w:ilvl w:val="0"/>
          <w:numId w:val="1"/>
        </w:numPr>
        <w:spacing w:after="10"/>
        <w:ind w:hanging="360"/>
      </w:pPr>
      <w:r>
        <w:t xml:space="preserve">Cognition and Learning </w:t>
      </w:r>
    </w:p>
    <w:p w14:paraId="1ECE235B" w14:textId="77777777" w:rsidR="00B64F46" w:rsidRDefault="00DC0569">
      <w:pPr>
        <w:numPr>
          <w:ilvl w:val="0"/>
          <w:numId w:val="1"/>
        </w:numPr>
        <w:spacing w:after="10"/>
        <w:ind w:hanging="360"/>
      </w:pPr>
      <w:r>
        <w:t xml:space="preserve">Social, Mental and Emotional Health </w:t>
      </w:r>
    </w:p>
    <w:p w14:paraId="652F12C7" w14:textId="77777777" w:rsidR="00B64F46" w:rsidRDefault="00DC0569">
      <w:pPr>
        <w:numPr>
          <w:ilvl w:val="0"/>
          <w:numId w:val="1"/>
        </w:numPr>
        <w:spacing w:after="10"/>
        <w:ind w:hanging="360"/>
      </w:pPr>
      <w:r>
        <w:t xml:space="preserve">Sensory and/or Physical Development </w:t>
      </w:r>
    </w:p>
    <w:p w14:paraId="59F04963" w14:textId="77777777" w:rsidR="00B64F46" w:rsidRDefault="00DC0569">
      <w:pPr>
        <w:spacing w:after="0" w:line="259" w:lineRule="auto"/>
        <w:ind w:left="1026" w:firstLine="0"/>
      </w:pPr>
      <w:r>
        <w:rPr>
          <w:b/>
        </w:rPr>
        <w:t xml:space="preserve"> </w:t>
      </w:r>
    </w:p>
    <w:p w14:paraId="051BFE94" w14:textId="3BC6B3D4" w:rsidR="00DC0569" w:rsidRPr="00DC0569" w:rsidRDefault="00DC0569" w:rsidP="00DC0569">
      <w:pPr>
        <w:pStyle w:val="Default"/>
        <w:ind w:left="993"/>
      </w:pPr>
      <w:r w:rsidRPr="00DC0569">
        <w:t xml:space="preserve">Underpinning ALL our provision in school is the </w:t>
      </w:r>
      <w:r w:rsidRPr="00DC0569">
        <w:rPr>
          <w:b/>
        </w:rPr>
        <w:t>graduated approach</w:t>
      </w:r>
      <w:r w:rsidRPr="00DC0569">
        <w:t xml:space="preserve"> cycle </w:t>
      </w:r>
      <w:proofErr w:type="gramStart"/>
      <w:r w:rsidRPr="00DC0569">
        <w:t>of</w:t>
      </w:r>
      <w:proofErr w:type="gramEnd"/>
      <w:r w:rsidRPr="00DC0569">
        <w:t xml:space="preserve">: </w:t>
      </w:r>
    </w:p>
    <w:p w14:paraId="1E0230AF" w14:textId="77777777" w:rsidR="00DC0569" w:rsidRPr="00DC0569" w:rsidRDefault="00DC0569" w:rsidP="00DC0569">
      <w:pPr>
        <w:pStyle w:val="Default"/>
      </w:pPr>
      <w:r w:rsidRPr="00DC0569">
        <w:rPr>
          <w:noProof/>
          <w:lang w:eastAsia="en-GB"/>
        </w:rPr>
        <w:drawing>
          <wp:inline distT="0" distB="0" distL="0" distR="0" wp14:anchorId="406840C7" wp14:editId="7A89E95B">
            <wp:extent cx="5467350" cy="1504950"/>
            <wp:effectExtent l="0" t="19050" r="0"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723C46C9" w14:textId="6B140D21" w:rsidR="00B64F46" w:rsidRDefault="00DC0569" w:rsidP="00DC0569">
      <w:pPr>
        <w:spacing w:after="0" w:line="259" w:lineRule="auto"/>
        <w:ind w:left="1026" w:firstLine="0"/>
        <w:rPr>
          <w:b/>
          <w:szCs w:val="24"/>
        </w:rPr>
      </w:pPr>
      <w:r w:rsidRPr="00DC0569">
        <w:rPr>
          <w:szCs w:val="24"/>
        </w:rPr>
        <w:t>All teachers are responsible for every child in their care, including those with special educational needs.</w:t>
      </w:r>
      <w:r w:rsidRPr="00DC0569">
        <w:rPr>
          <w:b/>
          <w:szCs w:val="24"/>
        </w:rPr>
        <w:t xml:space="preserve"> </w:t>
      </w:r>
    </w:p>
    <w:p w14:paraId="7B489CA7" w14:textId="77777777" w:rsidR="00DC0569" w:rsidRPr="00DC0569" w:rsidRDefault="00DC0569" w:rsidP="00DC0569">
      <w:pPr>
        <w:spacing w:after="0" w:line="259" w:lineRule="auto"/>
        <w:ind w:left="1026" w:firstLine="0"/>
        <w:rPr>
          <w:szCs w:val="24"/>
        </w:rPr>
      </w:pPr>
    </w:p>
    <w:p w14:paraId="0D747579" w14:textId="77777777" w:rsidR="00B64F46" w:rsidRDefault="00DC0569">
      <w:pPr>
        <w:spacing w:after="4" w:line="251" w:lineRule="auto"/>
        <w:ind w:left="1026" w:firstLine="0"/>
      </w:pPr>
      <w:r>
        <w:rPr>
          <w:b/>
        </w:rPr>
        <w:t xml:space="preserve">DECISIONS ABOUT WHETHER A CHILD HAS SEND </w:t>
      </w:r>
    </w:p>
    <w:p w14:paraId="47CB5E86" w14:textId="77777777" w:rsidR="00B64F46" w:rsidRDefault="00DC0569">
      <w:pPr>
        <w:spacing w:after="0" w:line="259" w:lineRule="auto"/>
        <w:ind w:left="1026" w:firstLine="0"/>
      </w:pPr>
      <w:r>
        <w:rPr>
          <w:b/>
        </w:rPr>
        <w:t xml:space="preserve"> </w:t>
      </w:r>
    </w:p>
    <w:p w14:paraId="5FF62407" w14:textId="77777777" w:rsidR="00B64F46" w:rsidRDefault="00DC0569">
      <w:pPr>
        <w:numPr>
          <w:ilvl w:val="0"/>
          <w:numId w:val="2"/>
        </w:numPr>
        <w:spacing w:after="4" w:line="251" w:lineRule="auto"/>
        <w:ind w:hanging="360"/>
      </w:pPr>
      <w:r>
        <w:rPr>
          <w:b/>
        </w:rPr>
        <w:t xml:space="preserve">How does the UTC know if children need extra help and what should parents do if they </w:t>
      </w:r>
      <w:proofErr w:type="gramStart"/>
      <w:r>
        <w:rPr>
          <w:b/>
        </w:rPr>
        <w:t>think</w:t>
      </w:r>
      <w:proofErr w:type="gramEnd"/>
      <w:r>
        <w:rPr>
          <w:b/>
        </w:rPr>
        <w:t xml:space="preserve"> their child may have special educational needs?</w:t>
      </w:r>
      <w:r>
        <w:t xml:space="preserve"> </w:t>
      </w:r>
    </w:p>
    <w:p w14:paraId="00D10939" w14:textId="77777777" w:rsidR="00B64F46" w:rsidRDefault="00DC0569">
      <w:pPr>
        <w:spacing w:after="22" w:line="259" w:lineRule="auto"/>
        <w:ind w:left="1026" w:firstLine="0"/>
      </w:pPr>
      <w:r>
        <w:t xml:space="preserve">  </w:t>
      </w:r>
    </w:p>
    <w:p w14:paraId="6E5B79AA" w14:textId="77777777" w:rsidR="00B64F46" w:rsidRDefault="00DC0569">
      <w:pPr>
        <w:ind w:left="1021"/>
      </w:pPr>
      <w:r>
        <w:t xml:space="preserve">Engineering UTC identifies students with special educational needs and/or disabilities (SEND) through communication with parents, previous schools and our own observations. A child with a SEND diagnosis </w:t>
      </w:r>
      <w:proofErr w:type="gramStart"/>
      <w:r>
        <w:t>would immediately be placed</w:t>
      </w:r>
      <w:proofErr w:type="gramEnd"/>
      <w:r>
        <w:t xml:space="preserve"> onto our SEND list, so that we can monitor progress and the impact of any interventions.  </w:t>
      </w:r>
    </w:p>
    <w:p w14:paraId="4657642C" w14:textId="77777777" w:rsidR="00B64F46" w:rsidRDefault="00DC0569">
      <w:pPr>
        <w:spacing w:after="61" w:line="259" w:lineRule="auto"/>
        <w:ind w:left="1026" w:firstLine="0"/>
      </w:pPr>
      <w:r>
        <w:t xml:space="preserve"> </w:t>
      </w:r>
    </w:p>
    <w:p w14:paraId="21AAC347" w14:textId="77777777" w:rsidR="00B64F46" w:rsidRDefault="00DC0569">
      <w:pPr>
        <w:ind w:left="1021"/>
      </w:pPr>
      <w:r>
        <w:t xml:space="preserve">Where we notice discrepancies between a child’s attainment and his/her chronological age, we will investigate the possibility of the child having SEND, even if needs </w:t>
      </w:r>
      <w:proofErr w:type="gramStart"/>
      <w:r>
        <w:t>have not been previously identified</w:t>
      </w:r>
      <w:proofErr w:type="gramEnd"/>
      <w:r>
        <w:t xml:space="preserve"> by a previous school. The UTC will screen children in these circumstances and may ask for further assessment, which will depend on the degree of the discrepancy (for example, between aptitude in certain skills, chronological age and reading age, etc.). </w:t>
      </w:r>
    </w:p>
    <w:p w14:paraId="2F1245B9" w14:textId="77777777" w:rsidR="00B64F46" w:rsidRDefault="00DC0569">
      <w:pPr>
        <w:spacing w:after="27" w:line="259" w:lineRule="auto"/>
        <w:ind w:left="1026" w:firstLine="0"/>
      </w:pPr>
      <w:r>
        <w:t xml:space="preserve"> </w:t>
      </w:r>
    </w:p>
    <w:p w14:paraId="6B099642" w14:textId="5A152122" w:rsidR="00B64F46" w:rsidRDefault="00DC0569">
      <w:pPr>
        <w:ind w:left="1021"/>
      </w:pPr>
      <w:r>
        <w:t xml:space="preserve">If parents are concerned, they may discuss these concerns with UTC staff, either during parents’ evenings (which take place twice per year), or through phone conversations, email, post, or in person. There is also the opportunity for parents to speak directly with our </w:t>
      </w:r>
      <w:r w:rsidR="00DA6FA7">
        <w:t xml:space="preserve">Lead </w:t>
      </w:r>
      <w:r>
        <w:t xml:space="preserve">SEND coordinator. </w:t>
      </w:r>
    </w:p>
    <w:p w14:paraId="69D649D3" w14:textId="77777777" w:rsidR="00B64F46" w:rsidRDefault="00DC0569">
      <w:pPr>
        <w:spacing w:after="27" w:line="259" w:lineRule="auto"/>
        <w:ind w:left="1026" w:firstLine="0"/>
      </w:pPr>
      <w:r>
        <w:t xml:space="preserve">    </w:t>
      </w:r>
    </w:p>
    <w:p w14:paraId="5CDB1A90" w14:textId="77777777" w:rsidR="00B64F46" w:rsidRDefault="00DC0569">
      <w:pPr>
        <w:numPr>
          <w:ilvl w:val="0"/>
          <w:numId w:val="2"/>
        </w:numPr>
        <w:spacing w:after="4" w:line="251" w:lineRule="auto"/>
        <w:ind w:hanging="360"/>
      </w:pPr>
      <w:r>
        <w:rPr>
          <w:b/>
        </w:rPr>
        <w:t xml:space="preserve">How </w:t>
      </w:r>
      <w:proofErr w:type="gramStart"/>
      <w:r>
        <w:rPr>
          <w:b/>
        </w:rPr>
        <w:t>is the decision made</w:t>
      </w:r>
      <w:proofErr w:type="gramEnd"/>
      <w:r>
        <w:rPr>
          <w:b/>
        </w:rPr>
        <w:t xml:space="preserve"> about how much individual support students will receive?</w:t>
      </w:r>
      <w:r>
        <w:t xml:space="preserve"> </w:t>
      </w:r>
    </w:p>
    <w:p w14:paraId="5C96EA44" w14:textId="77777777" w:rsidR="00B64F46" w:rsidRDefault="00DC0569">
      <w:pPr>
        <w:spacing w:after="0" w:line="259" w:lineRule="auto"/>
        <w:ind w:left="1746" w:firstLine="0"/>
      </w:pPr>
      <w:r>
        <w:t xml:space="preserve"> </w:t>
      </w:r>
    </w:p>
    <w:p w14:paraId="24A61862" w14:textId="77777777" w:rsidR="00B64F46" w:rsidRDefault="00DC0569">
      <w:pPr>
        <w:ind w:left="1021"/>
      </w:pPr>
      <w:r>
        <w:t xml:space="preserve">Other agency involvement depends on the individual needs. Support provided to students, internally, is dependent on the student’s individual circumstances. </w:t>
      </w:r>
    </w:p>
    <w:p w14:paraId="13022DBD" w14:textId="77777777" w:rsidR="00B64F46" w:rsidRDefault="00DC0569">
      <w:pPr>
        <w:spacing w:after="22" w:line="259" w:lineRule="auto"/>
        <w:ind w:left="1026" w:firstLine="0"/>
      </w:pPr>
      <w:r>
        <w:t xml:space="preserve"> </w:t>
      </w:r>
    </w:p>
    <w:p w14:paraId="55A15FBC" w14:textId="64781818" w:rsidR="00B64F46" w:rsidRDefault="00DC0569">
      <w:pPr>
        <w:ind w:left="1021"/>
      </w:pPr>
      <w:r>
        <w:t xml:space="preserve">Provision for SEND pupils is evidence based, and is planned by the </w:t>
      </w:r>
      <w:r w:rsidR="00DA6FA7">
        <w:t xml:space="preserve">Lead </w:t>
      </w:r>
      <w:proofErr w:type="spellStart"/>
      <w:r>
        <w:t>SENDCo</w:t>
      </w:r>
      <w:proofErr w:type="spellEnd"/>
      <w:r>
        <w:t xml:space="preserve"> </w:t>
      </w:r>
      <w:r w:rsidR="00DA6FA7">
        <w:t xml:space="preserve">Assistant </w:t>
      </w:r>
      <w:r>
        <w:t xml:space="preserve">and delivered by teachers and other members of staff trained in SEND provision. The impact of these provisions </w:t>
      </w:r>
      <w:proofErr w:type="gramStart"/>
      <w:r>
        <w:t>is closely monitored</w:t>
      </w:r>
      <w:proofErr w:type="gramEnd"/>
      <w:r>
        <w:t xml:space="preserve"> for impact. </w:t>
      </w:r>
    </w:p>
    <w:p w14:paraId="2AE2925B" w14:textId="77777777" w:rsidR="00B64F46" w:rsidRDefault="00DC0569">
      <w:pPr>
        <w:spacing w:after="27" w:line="259" w:lineRule="auto"/>
        <w:ind w:left="1026" w:firstLine="0"/>
      </w:pPr>
      <w:r>
        <w:lastRenderedPageBreak/>
        <w:t xml:space="preserve"> </w:t>
      </w:r>
    </w:p>
    <w:p w14:paraId="5115657B" w14:textId="77777777" w:rsidR="00B64F46" w:rsidRDefault="00DC0569">
      <w:pPr>
        <w:ind w:left="1021"/>
      </w:pPr>
      <w:r>
        <w:t xml:space="preserve">Parents are encouraged to discuss proposed provision or interventions.  </w:t>
      </w:r>
    </w:p>
    <w:p w14:paraId="3CE2F0E8" w14:textId="77777777" w:rsidR="00B64F46" w:rsidRDefault="00DC0569">
      <w:pPr>
        <w:spacing w:after="22" w:line="259" w:lineRule="auto"/>
        <w:ind w:left="1026" w:firstLine="0"/>
      </w:pPr>
      <w:r>
        <w:t xml:space="preserve">  </w:t>
      </w:r>
    </w:p>
    <w:p w14:paraId="6940CA39" w14:textId="77777777" w:rsidR="00B64F46" w:rsidRDefault="00DC0569">
      <w:pPr>
        <w:spacing w:after="0" w:line="259" w:lineRule="auto"/>
        <w:ind w:left="1026" w:firstLine="0"/>
      </w:pPr>
      <w:r>
        <w:rPr>
          <w:b/>
        </w:rPr>
        <w:t xml:space="preserve"> </w:t>
      </w:r>
    </w:p>
    <w:p w14:paraId="759AD3A8" w14:textId="77777777" w:rsidR="00B64F46" w:rsidRDefault="00DC0569">
      <w:pPr>
        <w:spacing w:after="0" w:line="259" w:lineRule="auto"/>
        <w:ind w:left="1026" w:firstLine="0"/>
      </w:pPr>
      <w:r>
        <w:rPr>
          <w:b/>
        </w:rPr>
        <w:t xml:space="preserve"> </w:t>
      </w:r>
    </w:p>
    <w:p w14:paraId="4FB6C3E6" w14:textId="77777777" w:rsidR="00B64F46" w:rsidRDefault="00DC0569">
      <w:pPr>
        <w:spacing w:after="4" w:line="251" w:lineRule="auto"/>
        <w:ind w:left="1026" w:firstLine="0"/>
      </w:pPr>
      <w:r>
        <w:rPr>
          <w:b/>
        </w:rPr>
        <w:t>SUPPORT FOR LEARNING AND WELL-BEING</w:t>
      </w:r>
      <w:r>
        <w:t xml:space="preserve"> </w:t>
      </w:r>
    </w:p>
    <w:p w14:paraId="31862FBD" w14:textId="77777777" w:rsidR="00B64F46" w:rsidRDefault="00DC0569">
      <w:pPr>
        <w:spacing w:after="22" w:line="259" w:lineRule="auto"/>
        <w:ind w:left="1026" w:firstLine="0"/>
      </w:pPr>
      <w:r>
        <w:t xml:space="preserve">  </w:t>
      </w:r>
    </w:p>
    <w:p w14:paraId="03E22FB1" w14:textId="77777777" w:rsidR="00B64F46" w:rsidRDefault="00DC0569">
      <w:pPr>
        <w:numPr>
          <w:ilvl w:val="0"/>
          <w:numId w:val="2"/>
        </w:numPr>
        <w:spacing w:after="4" w:line="251" w:lineRule="auto"/>
        <w:ind w:hanging="360"/>
      </w:pPr>
      <w:r>
        <w:rPr>
          <w:b/>
        </w:rPr>
        <w:t xml:space="preserve">How does the UTC support students with special educational needs </w:t>
      </w:r>
    </w:p>
    <w:p w14:paraId="174C5E76" w14:textId="77777777" w:rsidR="00B64F46" w:rsidRDefault="00DC0569">
      <w:pPr>
        <w:spacing w:after="0" w:line="259" w:lineRule="auto"/>
        <w:ind w:left="1026" w:firstLine="0"/>
      </w:pPr>
      <w:r>
        <w:t xml:space="preserve"> </w:t>
      </w:r>
    </w:p>
    <w:p w14:paraId="67D0A171" w14:textId="77777777" w:rsidR="00B64F46" w:rsidRDefault="00DC0569">
      <w:pPr>
        <w:ind w:left="1021"/>
      </w:pPr>
      <w:r>
        <w:t xml:space="preserve">SEND students are supported </w:t>
      </w:r>
      <w:proofErr w:type="gramStart"/>
      <w:r>
        <w:t>first and foremost</w:t>
      </w:r>
      <w:proofErr w:type="gramEnd"/>
      <w:r>
        <w:t xml:space="preserve"> through quality-first teaching. Teachers </w:t>
      </w:r>
      <w:proofErr w:type="gramStart"/>
      <w:r>
        <w:t>are trained</w:t>
      </w:r>
      <w:proofErr w:type="gramEnd"/>
      <w:r>
        <w:t xml:space="preserve"> in how to differentiate lessons to meet the needs of all our students. Marking and feedback, including in </w:t>
      </w:r>
      <w:proofErr w:type="gramStart"/>
      <w:r>
        <w:t>class-coaching</w:t>
      </w:r>
      <w:proofErr w:type="gramEnd"/>
      <w:r>
        <w:t xml:space="preserve">, is one of the most effective methods in accelerating progress. Modelling and demonstration </w:t>
      </w:r>
      <w:proofErr w:type="gramStart"/>
      <w:r>
        <w:t>is also used</w:t>
      </w:r>
      <w:proofErr w:type="gramEnd"/>
      <w:r>
        <w:t xml:space="preserve"> to ensure that every child can access the learning. </w:t>
      </w:r>
    </w:p>
    <w:p w14:paraId="49CE5E51" w14:textId="77777777" w:rsidR="00B64F46" w:rsidRDefault="00DC0569">
      <w:pPr>
        <w:spacing w:after="22" w:line="259" w:lineRule="auto"/>
        <w:ind w:left="1026" w:firstLine="0"/>
      </w:pPr>
      <w:r>
        <w:t xml:space="preserve"> </w:t>
      </w:r>
    </w:p>
    <w:p w14:paraId="0D052358" w14:textId="43B3ED91" w:rsidR="00B64F46" w:rsidRDefault="00DC0569">
      <w:pPr>
        <w:ind w:left="1021"/>
      </w:pPr>
      <w:r>
        <w:t xml:space="preserve">Our lead </w:t>
      </w:r>
      <w:proofErr w:type="spellStart"/>
      <w:r>
        <w:t>SEND</w:t>
      </w:r>
      <w:r w:rsidR="00DA6FA7">
        <w:t>Co</w:t>
      </w:r>
      <w:proofErr w:type="spellEnd"/>
      <w:r>
        <w:t xml:space="preserve"> </w:t>
      </w:r>
      <w:r w:rsidR="00DA6FA7">
        <w:t xml:space="preserve">Assistant </w:t>
      </w:r>
      <w:r>
        <w:t xml:space="preserve">and consultant SEND support staff deliver interventions for small groups of students focusing on areas such </w:t>
      </w:r>
      <w:proofErr w:type="gramStart"/>
      <w:r>
        <w:t>as:</w:t>
      </w:r>
      <w:proofErr w:type="gramEnd"/>
      <w:r>
        <w:t xml:space="preserve"> dyslexia, working memory and cognitive processing, social skills and reading comprehension. We also offer subject</w:t>
      </w:r>
      <w:r w:rsidR="00DA6FA7">
        <w:t xml:space="preserve"> </w:t>
      </w:r>
      <w:r>
        <w:t xml:space="preserve">specific interventions for those requiring additional support. Students access an extended school day to ensure extended coverage of the curriculum. </w:t>
      </w:r>
    </w:p>
    <w:p w14:paraId="19299940" w14:textId="77777777" w:rsidR="00B64F46" w:rsidRDefault="00DC0569">
      <w:pPr>
        <w:spacing w:after="22" w:line="259" w:lineRule="auto"/>
        <w:ind w:left="1026" w:firstLine="0"/>
      </w:pPr>
      <w:r>
        <w:t xml:space="preserve"> </w:t>
      </w:r>
    </w:p>
    <w:p w14:paraId="6BE8DB27" w14:textId="77777777" w:rsidR="00B64F46" w:rsidRDefault="00DC0569">
      <w:pPr>
        <w:ind w:left="1021"/>
      </w:pPr>
      <w:r>
        <w:t xml:space="preserve">Individual Education Plans may be used by the </w:t>
      </w:r>
      <w:proofErr w:type="spellStart"/>
      <w:r>
        <w:t>SENDCo</w:t>
      </w:r>
      <w:proofErr w:type="spellEnd"/>
      <w:r>
        <w:t xml:space="preserve">, where considered necessary and useful. Please see our SEND Provision Map for a full over-view of SEND provision. </w:t>
      </w:r>
    </w:p>
    <w:p w14:paraId="5F2C5C21" w14:textId="77777777" w:rsidR="00B64F46" w:rsidRDefault="00DC0569">
      <w:pPr>
        <w:spacing w:after="22" w:line="259" w:lineRule="auto"/>
        <w:ind w:left="1026" w:firstLine="0"/>
      </w:pPr>
      <w:r>
        <w:t xml:space="preserve"> </w:t>
      </w:r>
    </w:p>
    <w:p w14:paraId="43D74CA8" w14:textId="77777777" w:rsidR="00B64F46" w:rsidRDefault="00DC0569">
      <w:pPr>
        <w:spacing w:after="28" w:line="259" w:lineRule="auto"/>
        <w:ind w:left="1026" w:firstLine="0"/>
      </w:pPr>
      <w:r>
        <w:t xml:space="preserve">  </w:t>
      </w:r>
    </w:p>
    <w:p w14:paraId="35A4ADBC" w14:textId="77777777" w:rsidR="00B64F46" w:rsidRDefault="00DC0569">
      <w:pPr>
        <w:numPr>
          <w:ilvl w:val="0"/>
          <w:numId w:val="2"/>
        </w:numPr>
        <w:spacing w:after="4" w:line="251" w:lineRule="auto"/>
        <w:ind w:hanging="360"/>
      </w:pPr>
      <w:r>
        <w:rPr>
          <w:b/>
        </w:rPr>
        <w:t>What mechanisms are in place for supporting students’ overall wellbeing?</w:t>
      </w:r>
      <w:r>
        <w:t xml:space="preserve"> </w:t>
      </w:r>
    </w:p>
    <w:p w14:paraId="09A9E3EF" w14:textId="77777777" w:rsidR="00B64F46" w:rsidRDefault="00DC0569">
      <w:pPr>
        <w:spacing w:after="0" w:line="259" w:lineRule="auto"/>
        <w:ind w:left="1746" w:firstLine="0"/>
      </w:pPr>
      <w:r>
        <w:t xml:space="preserve"> </w:t>
      </w:r>
    </w:p>
    <w:p w14:paraId="559A0B1C" w14:textId="77777777" w:rsidR="00B64F46" w:rsidRDefault="00DC0569">
      <w:pPr>
        <w:ind w:left="1021"/>
      </w:pPr>
      <w:r>
        <w:t xml:space="preserve">Pastoral and social support systems are available for students with SEND through our Professional Standards and Inclusion Team. This includes our Professional Standards and Inclusion Leads and Assistants. The team oversee behaviour, pastoral issues and attendance – interventions </w:t>
      </w:r>
      <w:proofErr w:type="gramStart"/>
      <w:r>
        <w:t>are put</w:t>
      </w:r>
      <w:proofErr w:type="gramEnd"/>
      <w:r>
        <w:t xml:space="preserve"> in place when concerns become apparent. </w:t>
      </w:r>
      <w:proofErr w:type="gramStart"/>
      <w:r>
        <w:t xml:space="preserve">This area is overseen by the Deputy </w:t>
      </w:r>
      <w:proofErr w:type="spellStart"/>
      <w:r>
        <w:t>Headteacher</w:t>
      </w:r>
      <w:proofErr w:type="spellEnd"/>
      <w:proofErr w:type="gramEnd"/>
      <w:r>
        <w:t xml:space="preserve">. </w:t>
      </w:r>
    </w:p>
    <w:p w14:paraId="11A90F5C" w14:textId="77777777" w:rsidR="00B64F46" w:rsidRDefault="00DC0569">
      <w:pPr>
        <w:spacing w:after="22" w:line="259" w:lineRule="auto"/>
        <w:ind w:left="1026" w:firstLine="0"/>
      </w:pPr>
      <w:r>
        <w:t xml:space="preserve"> </w:t>
      </w:r>
    </w:p>
    <w:p w14:paraId="1DBEFC43" w14:textId="77777777" w:rsidR="00B64F46" w:rsidRDefault="00DC0569">
      <w:pPr>
        <w:ind w:left="1021"/>
      </w:pPr>
      <w:r>
        <w:t xml:space="preserve">We have a clear policy against bullying, which </w:t>
      </w:r>
      <w:proofErr w:type="gramStart"/>
      <w:r>
        <w:t>is applied</w:t>
      </w:r>
      <w:proofErr w:type="gramEnd"/>
      <w:r>
        <w:t xml:space="preserve"> to all pupils, as well as a clear policy for Behaviour and Rewards, which encourages students to take responsibility for their actions. </w:t>
      </w:r>
    </w:p>
    <w:p w14:paraId="42E066E3" w14:textId="77777777" w:rsidR="00B64F46" w:rsidRDefault="00DC0569">
      <w:pPr>
        <w:spacing w:after="22" w:line="259" w:lineRule="auto"/>
        <w:ind w:left="1026" w:firstLine="0"/>
      </w:pPr>
      <w:r>
        <w:t xml:space="preserve"> </w:t>
      </w:r>
    </w:p>
    <w:p w14:paraId="35D7F66C" w14:textId="77777777" w:rsidR="00B64F46" w:rsidRDefault="00DC0569">
      <w:pPr>
        <w:ind w:left="1021"/>
      </w:pPr>
      <w:r>
        <w:t xml:space="preserve">Students with an Educational Health and Care Plan (EHCP) </w:t>
      </w:r>
      <w:proofErr w:type="gramStart"/>
      <w:r>
        <w:t>will be allocated</w:t>
      </w:r>
      <w:proofErr w:type="gramEnd"/>
      <w:r>
        <w:t xml:space="preserve"> a ‘Key Person’ to ensure that they have a trusted member of staff they can go to with issues or concerns.  </w:t>
      </w:r>
    </w:p>
    <w:p w14:paraId="39154C8D" w14:textId="77777777" w:rsidR="00B64F46" w:rsidRDefault="00DC0569">
      <w:pPr>
        <w:spacing w:after="27" w:line="259" w:lineRule="auto"/>
        <w:ind w:left="1026" w:firstLine="0"/>
      </w:pPr>
      <w:r>
        <w:t xml:space="preserve"> </w:t>
      </w:r>
    </w:p>
    <w:p w14:paraId="0126835C" w14:textId="77777777" w:rsidR="00B64F46" w:rsidRDefault="00DC0569">
      <w:pPr>
        <w:ind w:left="1021"/>
      </w:pPr>
      <w:r>
        <w:t xml:space="preserve">The views of students </w:t>
      </w:r>
      <w:proofErr w:type="gramStart"/>
      <w:r>
        <w:t>are taken</w:t>
      </w:r>
      <w:proofErr w:type="gramEnd"/>
      <w:r>
        <w:t xml:space="preserve"> into account via questionnaires, along with input from our Student Leadership Team. Students with IEPs share their views during IEP review meetings. </w:t>
      </w:r>
    </w:p>
    <w:p w14:paraId="3D8A147F" w14:textId="77777777" w:rsidR="00B64F46" w:rsidRDefault="00DC0569">
      <w:pPr>
        <w:spacing w:after="22" w:line="259" w:lineRule="auto"/>
        <w:ind w:left="1026" w:firstLine="0"/>
      </w:pPr>
      <w:r>
        <w:t xml:space="preserve"> </w:t>
      </w:r>
    </w:p>
    <w:p w14:paraId="75412F31" w14:textId="77777777" w:rsidR="00B64F46" w:rsidRDefault="00DC0569">
      <w:pPr>
        <w:ind w:left="1021"/>
      </w:pPr>
      <w:r>
        <w:t xml:space="preserve">Students with social, mental and emotional health difficulties, who are at risk of exclusion, </w:t>
      </w:r>
      <w:proofErr w:type="gramStart"/>
      <w:r>
        <w:t>are supported</w:t>
      </w:r>
      <w:proofErr w:type="gramEnd"/>
      <w:r>
        <w:t xml:space="preserve"> through partnership, working with outside agencies. </w:t>
      </w:r>
    </w:p>
    <w:p w14:paraId="60BC550C" w14:textId="77777777" w:rsidR="00B64F46" w:rsidRDefault="00DC0569">
      <w:pPr>
        <w:spacing w:after="22" w:line="259" w:lineRule="auto"/>
        <w:ind w:left="1026" w:firstLine="0"/>
      </w:pPr>
      <w:r>
        <w:lastRenderedPageBreak/>
        <w:t xml:space="preserve">  </w:t>
      </w:r>
    </w:p>
    <w:p w14:paraId="34179D14" w14:textId="77777777" w:rsidR="00B64F46" w:rsidRDefault="00DC0569">
      <w:pPr>
        <w:spacing w:after="0" w:line="259" w:lineRule="auto"/>
        <w:ind w:left="1026" w:firstLine="0"/>
      </w:pPr>
      <w:r>
        <w:rPr>
          <w:b/>
        </w:rPr>
        <w:t xml:space="preserve"> </w:t>
      </w:r>
    </w:p>
    <w:p w14:paraId="08F1DB71" w14:textId="77777777" w:rsidR="00B64F46" w:rsidRDefault="00DC0569">
      <w:pPr>
        <w:spacing w:after="0" w:line="259" w:lineRule="auto"/>
        <w:ind w:left="1026" w:firstLine="0"/>
      </w:pPr>
      <w:r>
        <w:rPr>
          <w:b/>
        </w:rPr>
        <w:t xml:space="preserve"> </w:t>
      </w:r>
    </w:p>
    <w:p w14:paraId="417C22FE" w14:textId="77777777" w:rsidR="00B64F46" w:rsidRDefault="00DC0569">
      <w:pPr>
        <w:spacing w:after="4" w:line="251" w:lineRule="auto"/>
        <w:ind w:left="1026" w:firstLine="0"/>
      </w:pPr>
      <w:r>
        <w:rPr>
          <w:b/>
        </w:rPr>
        <w:t xml:space="preserve">PROGRESS, PLANNING AND KEEPING PARENTS INFORMED </w:t>
      </w:r>
    </w:p>
    <w:p w14:paraId="525732CE" w14:textId="77777777" w:rsidR="00B64F46" w:rsidRDefault="00DC0569">
      <w:pPr>
        <w:spacing w:after="0" w:line="259" w:lineRule="auto"/>
        <w:ind w:left="1026" w:firstLine="0"/>
      </w:pPr>
      <w:r>
        <w:t xml:space="preserve"> </w:t>
      </w:r>
    </w:p>
    <w:p w14:paraId="7644DC14" w14:textId="77777777" w:rsidR="00B64F46" w:rsidRDefault="00DC0569">
      <w:pPr>
        <w:numPr>
          <w:ilvl w:val="0"/>
          <w:numId w:val="3"/>
        </w:numPr>
        <w:spacing w:after="4" w:line="251" w:lineRule="auto"/>
        <w:ind w:hanging="360"/>
      </w:pPr>
      <w:r>
        <w:rPr>
          <w:b/>
        </w:rPr>
        <w:t>How will parents know how their child is doing?</w:t>
      </w:r>
      <w:r>
        <w:t xml:space="preserve"> </w:t>
      </w:r>
    </w:p>
    <w:p w14:paraId="4ABBE3E6" w14:textId="77777777" w:rsidR="00B64F46" w:rsidRDefault="00DC0569">
      <w:pPr>
        <w:spacing w:after="0" w:line="259" w:lineRule="auto"/>
        <w:ind w:left="1746" w:firstLine="0"/>
      </w:pPr>
      <w:r>
        <w:t xml:space="preserve"> </w:t>
      </w:r>
    </w:p>
    <w:p w14:paraId="2522D97B" w14:textId="77777777" w:rsidR="00B64F46" w:rsidRDefault="00DC0569">
      <w:pPr>
        <w:spacing w:after="6"/>
        <w:ind w:left="1021"/>
      </w:pPr>
      <w:r>
        <w:t xml:space="preserve">Parents will receive an update on their child’s attainment, progress and effort at two different Assessment Points throughout the year. We also host parents’ evening twice per year, where parents can talk to individual class teachers, as well as the </w:t>
      </w:r>
    </w:p>
    <w:p w14:paraId="44FDFEE1" w14:textId="6BB0B466" w:rsidR="00B64F46" w:rsidRDefault="00DC0569">
      <w:pPr>
        <w:ind w:left="1021"/>
      </w:pPr>
      <w:proofErr w:type="spellStart"/>
      <w:r>
        <w:t>SENDCo</w:t>
      </w:r>
      <w:proofErr w:type="spellEnd"/>
      <w:r>
        <w:t xml:space="preserve">. </w:t>
      </w:r>
      <w:r w:rsidR="00DA6FA7">
        <w:t xml:space="preserve">Where parents’ Evenings have not been able to go ahead (e.g. </w:t>
      </w:r>
      <w:proofErr w:type="spellStart"/>
      <w:r w:rsidR="00DA6FA7">
        <w:t>Covid</w:t>
      </w:r>
      <w:proofErr w:type="spellEnd"/>
      <w:r w:rsidR="00DA6FA7">
        <w:t xml:space="preserve"> restrictions contact </w:t>
      </w:r>
      <w:proofErr w:type="gramStart"/>
      <w:r w:rsidR="00DA6FA7">
        <w:t>has been made</w:t>
      </w:r>
      <w:proofErr w:type="gramEnd"/>
      <w:r w:rsidR="00DA6FA7">
        <w:t xml:space="preserve"> through telephone calls.</w:t>
      </w:r>
    </w:p>
    <w:p w14:paraId="5F27C43F" w14:textId="77777777" w:rsidR="00B64F46" w:rsidRDefault="00DC0569">
      <w:pPr>
        <w:spacing w:after="22" w:line="259" w:lineRule="auto"/>
        <w:ind w:left="1026" w:firstLine="0"/>
      </w:pPr>
      <w:r>
        <w:t xml:space="preserve"> </w:t>
      </w:r>
    </w:p>
    <w:p w14:paraId="13A07BCE" w14:textId="0BD99D7F" w:rsidR="00B64F46" w:rsidRDefault="00DC0569">
      <w:pPr>
        <w:ind w:left="1021"/>
      </w:pPr>
      <w:r>
        <w:t>Opportunities are available for regular contact between home and school, whether this be through phone, email, post, or in person</w:t>
      </w:r>
      <w:r w:rsidR="00DA6FA7">
        <w:t xml:space="preserve"> where possible.</w:t>
      </w:r>
    </w:p>
    <w:p w14:paraId="0EBA5C4A" w14:textId="77777777" w:rsidR="00B64F46" w:rsidRDefault="00DC0569">
      <w:pPr>
        <w:spacing w:after="31" w:line="259" w:lineRule="auto"/>
        <w:ind w:left="1026" w:firstLine="0"/>
      </w:pPr>
      <w:r>
        <w:t xml:space="preserve">  </w:t>
      </w:r>
    </w:p>
    <w:p w14:paraId="1E733D2E" w14:textId="77777777" w:rsidR="00B64F46" w:rsidRDefault="00DC0569">
      <w:pPr>
        <w:numPr>
          <w:ilvl w:val="0"/>
          <w:numId w:val="3"/>
        </w:numPr>
        <w:spacing w:after="4" w:line="251" w:lineRule="auto"/>
        <w:ind w:hanging="360"/>
      </w:pPr>
      <w:r>
        <w:rPr>
          <w:b/>
        </w:rPr>
        <w:t>How are parents involved in discussions about planning for their child’s education, and how are children able to contribute to their views?</w:t>
      </w:r>
      <w:r>
        <w:t xml:space="preserve"> </w:t>
      </w:r>
    </w:p>
    <w:p w14:paraId="45FECD53" w14:textId="77777777" w:rsidR="00B64F46" w:rsidRDefault="00DC0569">
      <w:pPr>
        <w:spacing w:after="0" w:line="259" w:lineRule="auto"/>
        <w:ind w:left="1026" w:firstLine="0"/>
      </w:pPr>
      <w:r>
        <w:rPr>
          <w:i/>
        </w:rPr>
        <w:t xml:space="preserve"> </w:t>
      </w:r>
    </w:p>
    <w:p w14:paraId="5B17CB28" w14:textId="77777777" w:rsidR="00B64F46" w:rsidRDefault="00DC0569">
      <w:pPr>
        <w:spacing w:after="0"/>
        <w:ind w:left="1021"/>
      </w:pPr>
      <w:r>
        <w:t xml:space="preserve">Parents can be involved in planning their child’s education, and for students with EHCPs, they can also participate in the annual review process. We encourage all parents to attend parents’ evenings, which </w:t>
      </w:r>
      <w:proofErr w:type="gramStart"/>
      <w:r>
        <w:t>are held</w:t>
      </w:r>
      <w:proofErr w:type="gramEnd"/>
      <w:r>
        <w:t xml:space="preserve"> twice per academic year, to discuss current provision and its impact, as well as plans for the future. Where we aim to propose a new intervention for a particular child, we will discuss this with parents. We also have Parent Governors on our Governing Body. </w:t>
      </w:r>
    </w:p>
    <w:p w14:paraId="3AD9ADD9" w14:textId="77777777" w:rsidR="00B64F46" w:rsidRDefault="00DC0569">
      <w:pPr>
        <w:spacing w:after="22" w:line="259" w:lineRule="auto"/>
        <w:ind w:left="1026" w:firstLine="0"/>
      </w:pPr>
      <w:r>
        <w:t xml:space="preserve"> </w:t>
      </w:r>
    </w:p>
    <w:p w14:paraId="4BEF4263" w14:textId="11B58437" w:rsidR="00B64F46" w:rsidRDefault="00DC0569">
      <w:pPr>
        <w:ind w:left="1021"/>
      </w:pPr>
      <w:r>
        <w:t xml:space="preserve">Children’s views </w:t>
      </w:r>
      <w:proofErr w:type="gramStart"/>
      <w:r>
        <w:t>are taken</w:t>
      </w:r>
      <w:proofErr w:type="gramEnd"/>
      <w:r>
        <w:t xml:space="preserve"> into account via questionnaires, student forums and child</w:t>
      </w:r>
      <w:r w:rsidR="00DA6FA7">
        <w:t>-</w:t>
      </w:r>
      <w:r>
        <w:t>centred reviews. We also have a Student Leadership Team</w:t>
      </w:r>
      <w:r w:rsidR="00DA6FA7">
        <w:t xml:space="preserve"> through which students’ views </w:t>
      </w:r>
      <w:proofErr w:type="gramStart"/>
      <w:r w:rsidR="00DA6FA7">
        <w:t>are sought</w:t>
      </w:r>
      <w:proofErr w:type="gramEnd"/>
      <w:r w:rsidR="00DA6FA7">
        <w:t xml:space="preserve"> and responses given.</w:t>
      </w:r>
    </w:p>
    <w:p w14:paraId="34D2A0AA" w14:textId="77777777" w:rsidR="00B64F46" w:rsidRDefault="00DC0569">
      <w:pPr>
        <w:spacing w:after="22" w:line="259" w:lineRule="auto"/>
        <w:ind w:left="1026" w:firstLine="0"/>
      </w:pPr>
      <w:r>
        <w:t xml:space="preserve">  </w:t>
      </w:r>
    </w:p>
    <w:p w14:paraId="0F6A654A" w14:textId="77777777" w:rsidR="00B64F46" w:rsidRDefault="00DC0569">
      <w:pPr>
        <w:spacing w:after="4" w:line="251" w:lineRule="auto"/>
        <w:ind w:left="1026" w:firstLine="0"/>
      </w:pPr>
      <w:r>
        <w:rPr>
          <w:b/>
        </w:rPr>
        <w:t xml:space="preserve">PROVISIONS, RESOURCES &amp; SERVICES </w:t>
      </w:r>
    </w:p>
    <w:p w14:paraId="7FBC7EF4" w14:textId="77777777" w:rsidR="00B64F46" w:rsidRDefault="00DC0569">
      <w:pPr>
        <w:spacing w:after="0" w:line="259" w:lineRule="auto"/>
        <w:ind w:left="1026" w:firstLine="0"/>
      </w:pPr>
      <w:r>
        <w:t xml:space="preserve"> </w:t>
      </w:r>
    </w:p>
    <w:p w14:paraId="7D5F43E2" w14:textId="77777777" w:rsidR="00B64F46" w:rsidRDefault="00DC0569">
      <w:pPr>
        <w:numPr>
          <w:ilvl w:val="0"/>
          <w:numId w:val="3"/>
        </w:numPr>
        <w:spacing w:after="4" w:line="251" w:lineRule="auto"/>
        <w:ind w:hanging="360"/>
      </w:pPr>
      <w:r>
        <w:rPr>
          <w:b/>
        </w:rPr>
        <w:t xml:space="preserve">How </w:t>
      </w:r>
      <w:proofErr w:type="gramStart"/>
      <w:r>
        <w:rPr>
          <w:b/>
        </w:rPr>
        <w:t>is learning and development provision matched</w:t>
      </w:r>
      <w:proofErr w:type="gramEnd"/>
      <w:r>
        <w:rPr>
          <w:b/>
        </w:rPr>
        <w:t xml:space="preserve"> to individual students’ needs?</w:t>
      </w:r>
      <w:r>
        <w:t xml:space="preserve"> </w:t>
      </w:r>
    </w:p>
    <w:p w14:paraId="4ABC2F02" w14:textId="77777777" w:rsidR="00B64F46" w:rsidRDefault="00DC0569">
      <w:pPr>
        <w:spacing w:after="0" w:line="259" w:lineRule="auto"/>
        <w:ind w:left="1746" w:firstLine="0"/>
      </w:pPr>
      <w:r>
        <w:t xml:space="preserve"> </w:t>
      </w:r>
    </w:p>
    <w:p w14:paraId="30644DF3" w14:textId="77777777" w:rsidR="00B64F46" w:rsidRDefault="00DC0569">
      <w:pPr>
        <w:ind w:left="1021"/>
      </w:pPr>
      <w:r>
        <w:t xml:space="preserve">Teachers </w:t>
      </w:r>
      <w:proofErr w:type="gramStart"/>
      <w:r>
        <w:t>are trained</w:t>
      </w:r>
      <w:proofErr w:type="gramEnd"/>
      <w:r>
        <w:t xml:space="preserve"> in how to differentiate lessons to meet the needs of all our students, particularly those students with SEND. Teachers </w:t>
      </w:r>
      <w:proofErr w:type="gramStart"/>
      <w:r>
        <w:t>are informed</w:t>
      </w:r>
      <w:proofErr w:type="gramEnd"/>
      <w:r>
        <w:t xml:space="preserve"> of strategies for SEND students and regularly share best practice with one another. </w:t>
      </w:r>
    </w:p>
    <w:p w14:paraId="130F1E2D" w14:textId="77777777" w:rsidR="00B64F46" w:rsidRDefault="00DC0569">
      <w:pPr>
        <w:spacing w:after="22" w:line="259" w:lineRule="auto"/>
        <w:ind w:left="1026" w:firstLine="0"/>
      </w:pPr>
      <w:r>
        <w:t xml:space="preserve"> </w:t>
      </w:r>
    </w:p>
    <w:p w14:paraId="46054EFB" w14:textId="7B9DEF0B" w:rsidR="00B64F46" w:rsidRDefault="00DC0569">
      <w:pPr>
        <w:ind w:left="1021"/>
      </w:pPr>
      <w:r>
        <w:t xml:space="preserve">Staff use the scaffolding approach to student support within the classroom, initially using </w:t>
      </w:r>
      <w:proofErr w:type="gramStart"/>
      <w:r>
        <w:t>strategies which encourages resilience and independence (such as self</w:t>
      </w:r>
      <w:r w:rsidR="00DA6FA7">
        <w:t>-</w:t>
      </w:r>
      <w:r>
        <w:t>scaffolding and prompting, clueing)</w:t>
      </w:r>
      <w:proofErr w:type="gramEnd"/>
      <w:r>
        <w:t xml:space="preserve"> and only using high dependence strategies (such as one-to-one modelling and correcting) when other strategies have not been effective. </w:t>
      </w:r>
    </w:p>
    <w:p w14:paraId="54B3DA95" w14:textId="77777777" w:rsidR="00B64F46" w:rsidRDefault="00DC0569">
      <w:pPr>
        <w:spacing w:after="22" w:line="259" w:lineRule="auto"/>
        <w:ind w:left="1026" w:firstLine="0"/>
      </w:pPr>
      <w:r>
        <w:t xml:space="preserve"> </w:t>
      </w:r>
    </w:p>
    <w:p w14:paraId="12D57972" w14:textId="15B508E5" w:rsidR="00B64F46" w:rsidRDefault="00DC0569">
      <w:pPr>
        <w:ind w:left="1021"/>
      </w:pPr>
      <w:r>
        <w:t xml:space="preserve">Pupils with Access Arrangements for Examinations have these embedded within lessons, so that these are part of usual working practice. This may include use of a reader, scribe, or laptop. </w:t>
      </w:r>
    </w:p>
    <w:p w14:paraId="22A0D2CC" w14:textId="77777777" w:rsidR="00B64F46" w:rsidRDefault="00DC0569">
      <w:pPr>
        <w:spacing w:after="33" w:line="259" w:lineRule="auto"/>
        <w:ind w:left="1026" w:firstLine="0"/>
      </w:pPr>
      <w:r>
        <w:t xml:space="preserve">  </w:t>
      </w:r>
    </w:p>
    <w:p w14:paraId="0EC3A16C" w14:textId="77777777" w:rsidR="00B64F46" w:rsidRDefault="00DC0569">
      <w:pPr>
        <w:numPr>
          <w:ilvl w:val="0"/>
          <w:numId w:val="3"/>
        </w:numPr>
        <w:spacing w:after="4" w:line="251" w:lineRule="auto"/>
        <w:ind w:hanging="360"/>
      </w:pPr>
      <w:r>
        <w:rPr>
          <w:b/>
        </w:rPr>
        <w:lastRenderedPageBreak/>
        <w:t xml:space="preserve">How are the school’s resources </w:t>
      </w:r>
      <w:proofErr w:type="gramStart"/>
      <w:r>
        <w:rPr>
          <w:b/>
        </w:rPr>
        <w:t>allocated</w:t>
      </w:r>
      <w:proofErr w:type="gramEnd"/>
      <w:r>
        <w:rPr>
          <w:b/>
        </w:rPr>
        <w:t xml:space="preserve"> and matched to students’ SEN?</w:t>
      </w:r>
      <w:r>
        <w:t xml:space="preserve"> </w:t>
      </w:r>
    </w:p>
    <w:p w14:paraId="02146063" w14:textId="77777777" w:rsidR="00B64F46" w:rsidRDefault="00DC0569">
      <w:pPr>
        <w:spacing w:after="0" w:line="259" w:lineRule="auto"/>
        <w:ind w:left="1746" w:firstLine="0"/>
      </w:pPr>
      <w:r>
        <w:t xml:space="preserve"> </w:t>
      </w:r>
    </w:p>
    <w:p w14:paraId="62C279A0" w14:textId="0AEBB9F7" w:rsidR="00B64F46" w:rsidRDefault="00DC0569">
      <w:pPr>
        <w:ind w:left="1021"/>
      </w:pPr>
      <w:r>
        <w:t xml:space="preserve">The Principal and </w:t>
      </w:r>
      <w:r w:rsidR="00DA6FA7">
        <w:t xml:space="preserve">Lead </w:t>
      </w:r>
      <w:proofErr w:type="spellStart"/>
      <w:r>
        <w:t>SENDCo</w:t>
      </w:r>
      <w:proofErr w:type="spellEnd"/>
      <w:r>
        <w:t xml:space="preserve"> </w:t>
      </w:r>
      <w:r w:rsidR="00DA6FA7">
        <w:t xml:space="preserve">Assistant </w:t>
      </w:r>
      <w:r>
        <w:t xml:space="preserve">allocate the UTC SEND </w:t>
      </w:r>
      <w:r w:rsidR="00DA6FA7">
        <w:t>needs employing the budget where necessary</w:t>
      </w:r>
      <w:r>
        <w:t xml:space="preserve">, which includes the cost of employing specialist SEND staff. </w:t>
      </w:r>
    </w:p>
    <w:p w14:paraId="59C0C9CA" w14:textId="77777777" w:rsidR="00B64F46" w:rsidRDefault="00DC0569">
      <w:pPr>
        <w:spacing w:after="22" w:line="259" w:lineRule="auto"/>
        <w:ind w:left="1026" w:firstLine="0"/>
      </w:pPr>
      <w:r>
        <w:t xml:space="preserve"> </w:t>
      </w:r>
    </w:p>
    <w:p w14:paraId="540A32FB" w14:textId="77777777" w:rsidR="00B64F46" w:rsidRDefault="00DC0569">
      <w:pPr>
        <w:ind w:left="1021"/>
      </w:pPr>
      <w:r>
        <w:t xml:space="preserve">The SEND budget </w:t>
      </w:r>
      <w:proofErr w:type="gramStart"/>
      <w:r>
        <w:t>is allocated</w:t>
      </w:r>
      <w:proofErr w:type="gramEnd"/>
      <w:r>
        <w:t xml:space="preserve"> to the following resources: </w:t>
      </w:r>
    </w:p>
    <w:p w14:paraId="2652B6E7" w14:textId="7D79301F" w:rsidR="00B64F46" w:rsidRDefault="00DC0569">
      <w:pPr>
        <w:numPr>
          <w:ilvl w:val="0"/>
          <w:numId w:val="4"/>
        </w:numPr>
        <w:ind w:hanging="360"/>
      </w:pPr>
      <w:r>
        <w:t xml:space="preserve">Lead </w:t>
      </w:r>
      <w:proofErr w:type="spellStart"/>
      <w:r>
        <w:t>SEND</w:t>
      </w:r>
      <w:r w:rsidR="00DA6FA7">
        <w:t>Co</w:t>
      </w:r>
      <w:proofErr w:type="spellEnd"/>
      <w:r>
        <w:t xml:space="preserve"> assistant and consultant SEND support staff </w:t>
      </w:r>
    </w:p>
    <w:p w14:paraId="4E3F8F16" w14:textId="77777777" w:rsidR="00B64F46" w:rsidRDefault="00DC0569">
      <w:pPr>
        <w:numPr>
          <w:ilvl w:val="0"/>
          <w:numId w:val="4"/>
        </w:numPr>
        <w:spacing w:after="10"/>
        <w:ind w:hanging="360"/>
      </w:pPr>
      <w:r>
        <w:t xml:space="preserve">Learning aids (pen grips, over-lays, dyslexic dictionaries, laptops, etc.) </w:t>
      </w:r>
    </w:p>
    <w:p w14:paraId="776130A8" w14:textId="77777777" w:rsidR="00B64F46" w:rsidRDefault="00DC0569">
      <w:pPr>
        <w:numPr>
          <w:ilvl w:val="0"/>
          <w:numId w:val="4"/>
        </w:numPr>
        <w:spacing w:after="10"/>
        <w:ind w:hanging="360"/>
      </w:pPr>
      <w:r>
        <w:t xml:space="preserve">Invigilators for students with Access Arrangements in examinations </w:t>
      </w:r>
    </w:p>
    <w:p w14:paraId="66948BEC" w14:textId="77777777" w:rsidR="00B64F46" w:rsidRDefault="00DC0569">
      <w:pPr>
        <w:numPr>
          <w:ilvl w:val="0"/>
          <w:numId w:val="4"/>
        </w:numPr>
        <w:spacing w:after="10"/>
        <w:ind w:hanging="360"/>
      </w:pPr>
      <w:r>
        <w:t xml:space="preserve">Pastoral provision and support </w:t>
      </w:r>
    </w:p>
    <w:p w14:paraId="6BC8D657" w14:textId="77777777" w:rsidR="00B64F46" w:rsidRDefault="00DC0569">
      <w:pPr>
        <w:numPr>
          <w:ilvl w:val="0"/>
          <w:numId w:val="4"/>
        </w:numPr>
        <w:spacing w:after="10"/>
        <w:ind w:hanging="360"/>
      </w:pPr>
      <w:r>
        <w:t xml:space="preserve">Reading and learning programmes </w:t>
      </w:r>
    </w:p>
    <w:p w14:paraId="12D3C03E" w14:textId="77777777" w:rsidR="00B64F46" w:rsidRDefault="00DC0569">
      <w:pPr>
        <w:numPr>
          <w:ilvl w:val="0"/>
          <w:numId w:val="4"/>
        </w:numPr>
        <w:ind w:hanging="360"/>
      </w:pPr>
      <w:r>
        <w:t xml:space="preserve">Teaching and learning support – by means of specialist help and advice for working with pupils with SEND </w:t>
      </w:r>
    </w:p>
    <w:p w14:paraId="6082CF15" w14:textId="77777777" w:rsidR="00B64F46" w:rsidRDefault="00DC0569">
      <w:pPr>
        <w:spacing w:after="27" w:line="259" w:lineRule="auto"/>
        <w:ind w:left="1026" w:firstLine="0"/>
      </w:pPr>
      <w:r>
        <w:t xml:space="preserve"> </w:t>
      </w:r>
    </w:p>
    <w:p w14:paraId="154F3A30" w14:textId="77777777" w:rsidR="00B64F46" w:rsidRDefault="00DC0569">
      <w:pPr>
        <w:ind w:left="1021"/>
      </w:pPr>
      <w:r>
        <w:t xml:space="preserve"> The Governing Body will monitor this provision. </w:t>
      </w:r>
    </w:p>
    <w:p w14:paraId="1B7809F3" w14:textId="77777777" w:rsidR="00B64F46" w:rsidRDefault="00DC0569">
      <w:pPr>
        <w:spacing w:after="22" w:line="259" w:lineRule="auto"/>
        <w:ind w:left="1026" w:firstLine="0"/>
      </w:pPr>
      <w:r>
        <w:t xml:space="preserve"> </w:t>
      </w:r>
    </w:p>
    <w:p w14:paraId="67225FD4" w14:textId="77777777" w:rsidR="00B64F46" w:rsidRDefault="00DC0569">
      <w:pPr>
        <w:numPr>
          <w:ilvl w:val="0"/>
          <w:numId w:val="5"/>
        </w:numPr>
        <w:spacing w:after="4" w:line="251" w:lineRule="auto"/>
        <w:ind w:hanging="360"/>
      </w:pPr>
      <w:r>
        <w:rPr>
          <w:b/>
        </w:rPr>
        <w:t>What specialist services and expertise are available at the UTC or accessed by the UTC?</w:t>
      </w:r>
      <w:r>
        <w:t xml:space="preserve"> </w:t>
      </w:r>
    </w:p>
    <w:p w14:paraId="2CC33CD5" w14:textId="77777777" w:rsidR="00B64F46" w:rsidRDefault="00DC0569">
      <w:pPr>
        <w:spacing w:after="0" w:line="259" w:lineRule="auto"/>
        <w:ind w:left="1746" w:firstLine="0"/>
      </w:pPr>
      <w:r>
        <w:t xml:space="preserve"> </w:t>
      </w:r>
    </w:p>
    <w:p w14:paraId="590171AC" w14:textId="77777777" w:rsidR="00B64F46" w:rsidRDefault="00DC0569">
      <w:pPr>
        <w:ind w:left="1021"/>
      </w:pPr>
      <w:r>
        <w:t xml:space="preserve">Specialist staff </w:t>
      </w:r>
      <w:proofErr w:type="gramStart"/>
      <w:r>
        <w:t>are used</w:t>
      </w:r>
      <w:proofErr w:type="gramEnd"/>
      <w:r>
        <w:t xml:space="preserve"> for the assessment of Access Arrangements. In </w:t>
      </w:r>
      <w:proofErr w:type="gramStart"/>
      <w:r>
        <w:t>addition</w:t>
      </w:r>
      <w:proofErr w:type="gramEnd"/>
      <w:r>
        <w:t xml:space="preserve"> the UTC is able to access support from the Local Authority SEND team and Learning Psychology Service, and many other external teams.  </w:t>
      </w:r>
    </w:p>
    <w:p w14:paraId="2772B977" w14:textId="77777777" w:rsidR="00B64F46" w:rsidRDefault="00DC0569">
      <w:pPr>
        <w:spacing w:after="22" w:line="259" w:lineRule="auto"/>
        <w:ind w:left="1026" w:firstLine="0"/>
      </w:pPr>
      <w:r>
        <w:t xml:space="preserve"> </w:t>
      </w:r>
    </w:p>
    <w:p w14:paraId="7741C5DF" w14:textId="77777777" w:rsidR="00B64F46" w:rsidRDefault="00DC0569">
      <w:pPr>
        <w:ind w:left="1021"/>
      </w:pPr>
      <w:r>
        <w:t xml:space="preserve">Other Specialists are provided and co-ordinated through multi-agency provision. The UTC is also able to access specialist services including health, therapy and social care through its involvement in Early Help, Child in Need, Child Protection, and Multi-Agency meetings. </w:t>
      </w:r>
    </w:p>
    <w:p w14:paraId="3150EC55" w14:textId="77777777" w:rsidR="00B64F46" w:rsidRDefault="00DC0569">
      <w:pPr>
        <w:spacing w:after="22" w:line="259" w:lineRule="auto"/>
        <w:ind w:left="1026" w:firstLine="0"/>
      </w:pPr>
      <w:r>
        <w:t xml:space="preserve">  </w:t>
      </w:r>
    </w:p>
    <w:p w14:paraId="08873726" w14:textId="1F27CB84" w:rsidR="00B64F46" w:rsidRDefault="00DC0569">
      <w:pPr>
        <w:numPr>
          <w:ilvl w:val="0"/>
          <w:numId w:val="5"/>
        </w:numPr>
        <w:spacing w:after="4" w:line="251" w:lineRule="auto"/>
        <w:ind w:hanging="360"/>
      </w:pPr>
      <w:r>
        <w:rPr>
          <w:b/>
        </w:rPr>
        <w:t>How accessible is the UTC environment? (</w:t>
      </w:r>
      <w:proofErr w:type="spellStart"/>
      <w:proofErr w:type="gramStart"/>
      <w:r>
        <w:rPr>
          <w:b/>
        </w:rPr>
        <w:t>n.b</w:t>
      </w:r>
      <w:proofErr w:type="gramEnd"/>
      <w:r>
        <w:rPr>
          <w:b/>
        </w:rPr>
        <w:t>.</w:t>
      </w:r>
      <w:proofErr w:type="spellEnd"/>
      <w:r>
        <w:rPr>
          <w:b/>
        </w:rPr>
        <w:t xml:space="preserve"> every school/Academy must have an up</w:t>
      </w:r>
      <w:r w:rsidR="00DA6FA7">
        <w:rPr>
          <w:b/>
        </w:rPr>
        <w:t>-</w:t>
      </w:r>
      <w:r>
        <w:rPr>
          <w:b/>
        </w:rPr>
        <w:t>to</w:t>
      </w:r>
      <w:r w:rsidR="00DA6FA7">
        <w:rPr>
          <w:b/>
        </w:rPr>
        <w:t>-</w:t>
      </w:r>
      <w:r>
        <w:rPr>
          <w:b/>
        </w:rPr>
        <w:t>date Accessibility Plan which is reviewed periodically by Governors).</w:t>
      </w:r>
      <w:r>
        <w:t xml:space="preserve"> </w:t>
      </w:r>
    </w:p>
    <w:p w14:paraId="465B5E1C" w14:textId="77777777" w:rsidR="00B64F46" w:rsidRDefault="00DC0569">
      <w:pPr>
        <w:spacing w:after="0" w:line="259" w:lineRule="auto"/>
        <w:ind w:left="1746" w:firstLine="0"/>
      </w:pPr>
      <w:r>
        <w:t xml:space="preserve"> </w:t>
      </w:r>
    </w:p>
    <w:p w14:paraId="3A361F94" w14:textId="6CFEA6A5" w:rsidR="00B64F46" w:rsidRDefault="00DC0569">
      <w:pPr>
        <w:spacing w:after="0"/>
        <w:ind w:left="1021"/>
      </w:pPr>
      <w:r>
        <w:t>Engineering UTC is accessible to wheelchairs</w:t>
      </w:r>
      <w:r w:rsidR="00DA6FA7">
        <w:t xml:space="preserve"> </w:t>
      </w:r>
      <w:r>
        <w:t xml:space="preserve">and has a lift. Disabled changing and toilet facilities are also available.  </w:t>
      </w:r>
    </w:p>
    <w:p w14:paraId="49664E93" w14:textId="77777777" w:rsidR="00B64F46" w:rsidRDefault="00DC0569">
      <w:pPr>
        <w:spacing w:after="0" w:line="259" w:lineRule="auto"/>
        <w:ind w:left="1026" w:firstLine="0"/>
      </w:pPr>
      <w:r>
        <w:t xml:space="preserve"> </w:t>
      </w:r>
    </w:p>
    <w:p w14:paraId="74E14720" w14:textId="77777777" w:rsidR="00B64F46" w:rsidRDefault="00DC0569">
      <w:pPr>
        <w:spacing w:after="10"/>
        <w:ind w:left="1021"/>
      </w:pPr>
      <w:proofErr w:type="gramStart"/>
      <w:r>
        <w:t>The Accessibility Plan is reviewed by Governors</w:t>
      </w:r>
      <w:proofErr w:type="gramEnd"/>
      <w:r>
        <w:t xml:space="preserve">. </w:t>
      </w:r>
    </w:p>
    <w:p w14:paraId="01727BC8" w14:textId="77777777" w:rsidR="00B64F46" w:rsidRDefault="00DC0569">
      <w:pPr>
        <w:spacing w:after="22" w:line="259" w:lineRule="auto"/>
        <w:ind w:left="1026" w:firstLine="0"/>
      </w:pPr>
      <w:r>
        <w:t xml:space="preserve">  </w:t>
      </w:r>
    </w:p>
    <w:p w14:paraId="20036387" w14:textId="004BE754" w:rsidR="00B64F46" w:rsidRDefault="00DC0569">
      <w:pPr>
        <w:numPr>
          <w:ilvl w:val="0"/>
          <w:numId w:val="5"/>
        </w:numPr>
        <w:spacing w:after="4" w:line="251" w:lineRule="auto"/>
        <w:ind w:hanging="360"/>
      </w:pPr>
      <w:r>
        <w:rPr>
          <w:b/>
        </w:rPr>
        <w:t>How are students included in activities outside the classroom including trips? (</w:t>
      </w:r>
      <w:proofErr w:type="spellStart"/>
      <w:r>
        <w:rPr>
          <w:b/>
        </w:rPr>
        <w:t>n.b</w:t>
      </w:r>
      <w:r w:rsidR="00DA6FA7">
        <w:rPr>
          <w:b/>
        </w:rPr>
        <w:t>.</w:t>
      </w:r>
      <w:proofErr w:type="spellEnd"/>
      <w:r>
        <w:rPr>
          <w:b/>
        </w:rPr>
        <w:t xml:space="preserve"> the DDA Reasonable Adjustments legislation expects schools/academies to be anticipatory in respect of school activities and trips) </w:t>
      </w:r>
      <w:r>
        <w:t xml:space="preserve"> </w:t>
      </w:r>
    </w:p>
    <w:p w14:paraId="3D0DEA8A" w14:textId="77777777" w:rsidR="00B64F46" w:rsidRDefault="00DC0569">
      <w:pPr>
        <w:spacing w:after="0" w:line="259" w:lineRule="auto"/>
        <w:ind w:left="1746" w:firstLine="0"/>
      </w:pPr>
      <w:r>
        <w:t xml:space="preserve"> </w:t>
      </w:r>
    </w:p>
    <w:p w14:paraId="59EB93D3" w14:textId="6CA4D56C" w:rsidR="00B64F46" w:rsidRDefault="00DC0569">
      <w:pPr>
        <w:ind w:left="1021"/>
      </w:pPr>
      <w:r>
        <w:t xml:space="preserve">All students with SEND are able to access all of the UTC’s activities, including extracurricular activities, such as enrichment </w:t>
      </w:r>
      <w:r w:rsidR="00DA6FA7">
        <w:t xml:space="preserve">(including physical activities/PE) </w:t>
      </w:r>
      <w:r>
        <w:t xml:space="preserve">and career’s provision.  </w:t>
      </w:r>
    </w:p>
    <w:p w14:paraId="3D92E629" w14:textId="77777777" w:rsidR="00B64F46" w:rsidRDefault="00DC0569">
      <w:pPr>
        <w:spacing w:after="28" w:line="259" w:lineRule="auto"/>
        <w:ind w:left="1026" w:firstLine="0"/>
      </w:pPr>
      <w:r>
        <w:t xml:space="preserve"> </w:t>
      </w:r>
    </w:p>
    <w:p w14:paraId="47948AEF" w14:textId="77777777" w:rsidR="00B64F46" w:rsidRDefault="00DC0569">
      <w:pPr>
        <w:ind w:left="1021"/>
      </w:pPr>
      <w:r>
        <w:lastRenderedPageBreak/>
        <w:t xml:space="preserve">Parents are involved in planning activities and trips via consent letters and have numerous opportunities to ask questions, comment  </w:t>
      </w:r>
    </w:p>
    <w:p w14:paraId="28A2DD13" w14:textId="77777777" w:rsidR="00B64F46" w:rsidRDefault="00DC0569">
      <w:pPr>
        <w:spacing w:after="22" w:line="259" w:lineRule="auto"/>
        <w:ind w:left="1026" w:firstLine="0"/>
      </w:pPr>
      <w:r>
        <w:t xml:space="preserve"> </w:t>
      </w:r>
    </w:p>
    <w:p w14:paraId="0B07EB1C" w14:textId="77777777" w:rsidR="00B64F46" w:rsidRDefault="00DC0569">
      <w:pPr>
        <w:ind w:left="1021"/>
      </w:pPr>
      <w:r>
        <w:t xml:space="preserve">A comprehensive risk assessment </w:t>
      </w:r>
      <w:proofErr w:type="gramStart"/>
      <w:r>
        <w:t>is completed</w:t>
      </w:r>
      <w:proofErr w:type="gramEnd"/>
      <w:r>
        <w:t xml:space="preserve"> for all off-site activities, to include risks arising from SEND. </w:t>
      </w:r>
    </w:p>
    <w:p w14:paraId="49D35668" w14:textId="77777777" w:rsidR="00B64F46" w:rsidRDefault="00DC0569">
      <w:pPr>
        <w:spacing w:after="22" w:line="259" w:lineRule="auto"/>
        <w:ind w:left="1026" w:firstLine="0"/>
      </w:pPr>
      <w:r>
        <w:t xml:space="preserve">  </w:t>
      </w:r>
    </w:p>
    <w:p w14:paraId="4BA6A753" w14:textId="77777777" w:rsidR="00B64F46" w:rsidRDefault="00DC0569">
      <w:pPr>
        <w:spacing w:after="4" w:line="251" w:lineRule="auto"/>
        <w:ind w:left="1026" w:firstLine="0"/>
      </w:pPr>
      <w:r>
        <w:rPr>
          <w:b/>
        </w:rPr>
        <w:t xml:space="preserve">STAFF TRAINING </w:t>
      </w:r>
    </w:p>
    <w:p w14:paraId="536E094C" w14:textId="77777777" w:rsidR="00B64F46" w:rsidRDefault="00DC0569">
      <w:pPr>
        <w:spacing w:after="0" w:line="259" w:lineRule="auto"/>
        <w:ind w:left="1026" w:firstLine="0"/>
      </w:pPr>
      <w:r>
        <w:t xml:space="preserve"> </w:t>
      </w:r>
    </w:p>
    <w:p w14:paraId="3F6782E6" w14:textId="77777777" w:rsidR="00B64F46" w:rsidRDefault="00DC0569">
      <w:pPr>
        <w:spacing w:after="4" w:line="251" w:lineRule="auto"/>
        <w:ind w:left="1741" w:hanging="370"/>
      </w:pPr>
      <w:r>
        <w:rPr>
          <w:b/>
        </w:rPr>
        <w:t>12. What training have the staff supporting students with SEND had, or what are they expected to have? (</w:t>
      </w:r>
      <w:proofErr w:type="spellStart"/>
      <w:proofErr w:type="gramStart"/>
      <w:r>
        <w:rPr>
          <w:b/>
        </w:rPr>
        <w:t>n.b</w:t>
      </w:r>
      <w:proofErr w:type="gramEnd"/>
      <w:r>
        <w:rPr>
          <w:b/>
        </w:rPr>
        <w:t>.</w:t>
      </w:r>
      <w:proofErr w:type="spellEnd"/>
      <w:r>
        <w:rPr>
          <w:b/>
        </w:rPr>
        <w:t xml:space="preserve"> under the SEND Code of Practice legislation, schools/academies need to offer high quality professional development and training to the work force.)</w:t>
      </w:r>
      <w:r>
        <w:t xml:space="preserve"> </w:t>
      </w:r>
    </w:p>
    <w:p w14:paraId="011586AD" w14:textId="77777777" w:rsidR="00B64F46" w:rsidRDefault="00DC0569">
      <w:pPr>
        <w:spacing w:after="0" w:line="259" w:lineRule="auto"/>
        <w:ind w:left="1746" w:firstLine="0"/>
      </w:pPr>
      <w:r>
        <w:t xml:space="preserve"> </w:t>
      </w:r>
    </w:p>
    <w:p w14:paraId="31DC5B83" w14:textId="77777777" w:rsidR="00B64F46" w:rsidRDefault="00DC0569">
      <w:pPr>
        <w:ind w:left="1021"/>
      </w:pPr>
      <w:r>
        <w:t xml:space="preserve">All staff receive weekly CPD opportunities. This largely focuses on the provision of quality-first-teaching, including:  </w:t>
      </w:r>
    </w:p>
    <w:p w14:paraId="6DAF8110" w14:textId="77777777" w:rsidR="00B64F46" w:rsidRDefault="00DC0569">
      <w:pPr>
        <w:numPr>
          <w:ilvl w:val="0"/>
          <w:numId w:val="6"/>
        </w:numPr>
        <w:spacing w:after="10"/>
        <w:ind w:hanging="360"/>
      </w:pPr>
      <w:r>
        <w:t xml:space="preserve">differentiation </w:t>
      </w:r>
    </w:p>
    <w:p w14:paraId="00F72B4E" w14:textId="77777777" w:rsidR="00B64F46" w:rsidRDefault="00DC0569">
      <w:pPr>
        <w:numPr>
          <w:ilvl w:val="0"/>
          <w:numId w:val="6"/>
        </w:numPr>
        <w:spacing w:after="10"/>
        <w:ind w:hanging="360"/>
      </w:pPr>
      <w:r>
        <w:t xml:space="preserve">marking and feedback </w:t>
      </w:r>
    </w:p>
    <w:p w14:paraId="2544FB2C" w14:textId="77777777" w:rsidR="00B64F46" w:rsidRDefault="00DC0569">
      <w:pPr>
        <w:numPr>
          <w:ilvl w:val="0"/>
          <w:numId w:val="6"/>
        </w:numPr>
        <w:spacing w:after="10"/>
        <w:ind w:hanging="360"/>
      </w:pPr>
      <w:r>
        <w:t xml:space="preserve">stretch and challenge </w:t>
      </w:r>
    </w:p>
    <w:p w14:paraId="6264846D" w14:textId="77777777" w:rsidR="00B64F46" w:rsidRDefault="00DC0569">
      <w:pPr>
        <w:numPr>
          <w:ilvl w:val="0"/>
          <w:numId w:val="6"/>
        </w:numPr>
        <w:spacing w:after="10"/>
        <w:ind w:hanging="360"/>
      </w:pPr>
      <w:r>
        <w:t xml:space="preserve">engaging learners </w:t>
      </w:r>
    </w:p>
    <w:p w14:paraId="45392CD7" w14:textId="77777777" w:rsidR="00B64F46" w:rsidRDefault="00DC0569">
      <w:pPr>
        <w:numPr>
          <w:ilvl w:val="0"/>
          <w:numId w:val="6"/>
        </w:numPr>
        <w:spacing w:after="12"/>
        <w:ind w:hanging="360"/>
      </w:pPr>
      <w:r>
        <w:t xml:space="preserve">promoting progress </w:t>
      </w:r>
    </w:p>
    <w:p w14:paraId="3D7A112B" w14:textId="77777777" w:rsidR="00B64F46" w:rsidRDefault="00DC0569">
      <w:pPr>
        <w:numPr>
          <w:ilvl w:val="0"/>
          <w:numId w:val="6"/>
        </w:numPr>
        <w:spacing w:after="10"/>
        <w:ind w:hanging="360"/>
      </w:pPr>
      <w:r>
        <w:t xml:space="preserve">planning </w:t>
      </w:r>
    </w:p>
    <w:p w14:paraId="0EF16907" w14:textId="77777777" w:rsidR="00B64F46" w:rsidRDefault="00DC0569">
      <w:pPr>
        <w:numPr>
          <w:ilvl w:val="0"/>
          <w:numId w:val="6"/>
        </w:numPr>
        <w:spacing w:after="10"/>
        <w:ind w:hanging="360"/>
      </w:pPr>
      <w:r>
        <w:t xml:space="preserve">behaviour for learning </w:t>
      </w:r>
    </w:p>
    <w:p w14:paraId="5E56F32E" w14:textId="77777777" w:rsidR="00B64F46" w:rsidRDefault="00DC0569">
      <w:pPr>
        <w:numPr>
          <w:ilvl w:val="0"/>
          <w:numId w:val="6"/>
        </w:numPr>
        <w:spacing w:after="12"/>
        <w:ind w:hanging="360"/>
      </w:pPr>
      <w:r>
        <w:t xml:space="preserve">assessment </w:t>
      </w:r>
    </w:p>
    <w:p w14:paraId="48BC0A0C" w14:textId="77777777" w:rsidR="00B64F46" w:rsidRDefault="00DC0569">
      <w:pPr>
        <w:numPr>
          <w:ilvl w:val="0"/>
          <w:numId w:val="6"/>
        </w:numPr>
        <w:spacing w:after="10"/>
        <w:ind w:hanging="360"/>
      </w:pPr>
      <w:r>
        <w:t xml:space="preserve">curriculum </w:t>
      </w:r>
    </w:p>
    <w:p w14:paraId="70DA3C22" w14:textId="77777777" w:rsidR="00B64F46" w:rsidRDefault="00DC0569">
      <w:pPr>
        <w:spacing w:after="22" w:line="259" w:lineRule="auto"/>
        <w:ind w:left="1026" w:firstLine="0"/>
      </w:pPr>
      <w:r>
        <w:t xml:space="preserve"> </w:t>
      </w:r>
    </w:p>
    <w:p w14:paraId="7F41D304" w14:textId="77777777" w:rsidR="00B64F46" w:rsidRDefault="00DC0569">
      <w:pPr>
        <w:ind w:left="1021"/>
      </w:pPr>
      <w:r>
        <w:t xml:space="preserve">Staff have access to large bank of SEND resources, which are specifically tailored to different types of diagnosis (e.g. autism, ADHD, dyslexia), and provide a wide selection of ideas, insights and strategies. Staff regularly share best practice, including resources. Staff also attend training on SEND strategies, which </w:t>
      </w:r>
      <w:proofErr w:type="gramStart"/>
      <w:r>
        <w:t>are specifically related</w:t>
      </w:r>
      <w:proofErr w:type="gramEnd"/>
      <w:r>
        <w:t xml:space="preserve"> to individual students. Information and strategies </w:t>
      </w:r>
      <w:proofErr w:type="gramStart"/>
      <w:r>
        <w:t>are shared</w:t>
      </w:r>
      <w:proofErr w:type="gramEnd"/>
      <w:r>
        <w:t xml:space="preserve"> with staff on a weekly basis. </w:t>
      </w:r>
    </w:p>
    <w:p w14:paraId="1B494B99" w14:textId="77777777" w:rsidR="00B64F46" w:rsidRDefault="00DC0569">
      <w:pPr>
        <w:spacing w:after="22" w:line="259" w:lineRule="auto"/>
        <w:ind w:left="1026" w:firstLine="0"/>
      </w:pPr>
      <w:r>
        <w:t xml:space="preserve"> </w:t>
      </w:r>
    </w:p>
    <w:p w14:paraId="65E5EBE5" w14:textId="77777777" w:rsidR="00B64F46" w:rsidRDefault="00DC0569">
      <w:pPr>
        <w:ind w:left="1021"/>
      </w:pPr>
      <w:r>
        <w:t xml:space="preserve">Disability Awareness Training </w:t>
      </w:r>
      <w:proofErr w:type="gramStart"/>
      <w:r>
        <w:t>is updated</w:t>
      </w:r>
      <w:proofErr w:type="gramEnd"/>
      <w:r>
        <w:t xml:space="preserve"> regularly, as well as Child Protection training.  </w:t>
      </w:r>
    </w:p>
    <w:p w14:paraId="40979CB0" w14:textId="77777777" w:rsidR="00B64F46" w:rsidRDefault="00DC0569">
      <w:pPr>
        <w:spacing w:after="22" w:line="259" w:lineRule="auto"/>
        <w:ind w:left="1026" w:firstLine="0"/>
      </w:pPr>
      <w:r>
        <w:t xml:space="preserve"> </w:t>
      </w:r>
    </w:p>
    <w:p w14:paraId="1362E661" w14:textId="77777777" w:rsidR="00B64F46" w:rsidRDefault="00DC0569">
      <w:pPr>
        <w:ind w:left="1021"/>
      </w:pPr>
      <w:r>
        <w:t xml:space="preserve">The lead SEND assistant, consultant SEND support staff and </w:t>
      </w:r>
      <w:proofErr w:type="spellStart"/>
      <w:r>
        <w:t>SENDCo</w:t>
      </w:r>
      <w:proofErr w:type="spellEnd"/>
      <w:r>
        <w:t xml:space="preserve"> meet fortnightly to reflect on best practice and share strategies for SEND students. </w:t>
      </w:r>
    </w:p>
    <w:p w14:paraId="542CD3EE" w14:textId="77777777" w:rsidR="00B64F46" w:rsidRDefault="00DC0569">
      <w:pPr>
        <w:spacing w:after="22" w:line="259" w:lineRule="auto"/>
        <w:ind w:left="1026" w:firstLine="0"/>
      </w:pPr>
      <w:r>
        <w:t xml:space="preserve"> </w:t>
      </w:r>
    </w:p>
    <w:p w14:paraId="56CB303F" w14:textId="77777777" w:rsidR="00B64F46" w:rsidRDefault="00DC0569">
      <w:pPr>
        <w:spacing w:after="4" w:line="251" w:lineRule="auto"/>
        <w:ind w:left="1026" w:firstLine="0"/>
      </w:pPr>
      <w:r>
        <w:rPr>
          <w:b/>
        </w:rPr>
        <w:t xml:space="preserve">TRANSITIONS </w:t>
      </w:r>
    </w:p>
    <w:p w14:paraId="4C06B21C" w14:textId="77777777" w:rsidR="00B64F46" w:rsidRDefault="00DC0569">
      <w:pPr>
        <w:spacing w:after="0" w:line="259" w:lineRule="auto"/>
        <w:ind w:left="1026" w:firstLine="0"/>
      </w:pPr>
      <w:r>
        <w:t xml:space="preserve"> </w:t>
      </w:r>
    </w:p>
    <w:p w14:paraId="37EBB21E" w14:textId="77777777" w:rsidR="00B64F46" w:rsidRDefault="00DC0569">
      <w:pPr>
        <w:numPr>
          <w:ilvl w:val="0"/>
          <w:numId w:val="7"/>
        </w:numPr>
        <w:spacing w:after="4" w:line="251" w:lineRule="auto"/>
        <w:ind w:hanging="360"/>
      </w:pPr>
      <w:r>
        <w:rPr>
          <w:b/>
        </w:rPr>
        <w:t>How does the school prepare and support students to join the school, transfer to a new school or the next stage of education and life in order to ensure their well-being?</w:t>
      </w:r>
      <w:r>
        <w:t xml:space="preserve"> </w:t>
      </w:r>
    </w:p>
    <w:p w14:paraId="681CE97C" w14:textId="77777777" w:rsidR="00B64F46" w:rsidRDefault="00DC0569">
      <w:pPr>
        <w:spacing w:after="0" w:line="259" w:lineRule="auto"/>
        <w:ind w:left="1746" w:firstLine="0"/>
      </w:pPr>
      <w:r>
        <w:t xml:space="preserve"> </w:t>
      </w:r>
    </w:p>
    <w:p w14:paraId="383629EA" w14:textId="77777777" w:rsidR="00B64F46" w:rsidRDefault="00DC0569">
      <w:pPr>
        <w:ind w:left="1021"/>
      </w:pPr>
      <w:r>
        <w:t xml:space="preserve">To help prepare and support students joining the UTC, the Professional Standards and Inclusion Lead and Assistants liaise with previous schools and parents to gather as much information as possible about our SEND students.  </w:t>
      </w:r>
    </w:p>
    <w:p w14:paraId="10F2D71E" w14:textId="77777777" w:rsidR="00B64F46" w:rsidRDefault="00DC0569">
      <w:pPr>
        <w:spacing w:after="22" w:line="259" w:lineRule="auto"/>
        <w:ind w:left="1026" w:firstLine="0"/>
      </w:pPr>
      <w:r>
        <w:t xml:space="preserve"> </w:t>
      </w:r>
    </w:p>
    <w:p w14:paraId="4F335CF5" w14:textId="77777777" w:rsidR="00B64F46" w:rsidRDefault="00DC0569">
      <w:pPr>
        <w:ind w:left="1021"/>
      </w:pPr>
      <w:r>
        <w:lastRenderedPageBreak/>
        <w:t xml:space="preserve">In addition, an Induction/Experience day </w:t>
      </w:r>
      <w:proofErr w:type="gramStart"/>
      <w:r>
        <w:t>is held</w:t>
      </w:r>
      <w:proofErr w:type="gramEnd"/>
      <w:r>
        <w:t xml:space="preserve"> for all students, and students receive an orientation on their first day.  </w:t>
      </w:r>
    </w:p>
    <w:p w14:paraId="008212A7" w14:textId="77777777" w:rsidR="00B64F46" w:rsidRDefault="00DC0569">
      <w:pPr>
        <w:spacing w:after="28" w:line="259" w:lineRule="auto"/>
        <w:ind w:left="1026" w:firstLine="0"/>
      </w:pPr>
      <w:r>
        <w:t xml:space="preserve"> </w:t>
      </w:r>
    </w:p>
    <w:p w14:paraId="19123682" w14:textId="77777777" w:rsidR="00B64F46" w:rsidRDefault="00DC0569">
      <w:pPr>
        <w:ind w:left="1021"/>
      </w:pPr>
      <w:r>
        <w:t xml:space="preserve">To help prepare students to move on, comprehensive information </w:t>
      </w:r>
      <w:proofErr w:type="gramStart"/>
      <w:r>
        <w:t>is provided</w:t>
      </w:r>
      <w:proofErr w:type="gramEnd"/>
      <w:r>
        <w:t xml:space="preserve"> on apprenticeships and university. High quality careers guidance is also available, including enrichment and visits to Industry Partners. </w:t>
      </w:r>
    </w:p>
    <w:p w14:paraId="6AC1E8A6" w14:textId="77777777" w:rsidR="00B64F46" w:rsidRDefault="00DC0569">
      <w:pPr>
        <w:spacing w:after="22" w:line="259" w:lineRule="auto"/>
        <w:ind w:left="1026" w:firstLine="0"/>
      </w:pPr>
      <w:r>
        <w:t xml:space="preserve">  </w:t>
      </w:r>
    </w:p>
    <w:p w14:paraId="2C072254" w14:textId="77777777" w:rsidR="00B64F46" w:rsidRDefault="00DC0569">
      <w:pPr>
        <w:spacing w:after="4" w:line="251" w:lineRule="auto"/>
        <w:ind w:left="1026" w:firstLine="0"/>
      </w:pPr>
      <w:r>
        <w:rPr>
          <w:b/>
        </w:rPr>
        <w:t xml:space="preserve">FURTHER INFORMATION </w:t>
      </w:r>
    </w:p>
    <w:p w14:paraId="28BCAF9B" w14:textId="77777777" w:rsidR="00B64F46" w:rsidRDefault="00DC0569">
      <w:pPr>
        <w:spacing w:after="0" w:line="259" w:lineRule="auto"/>
        <w:ind w:left="1026" w:firstLine="0"/>
      </w:pPr>
      <w:r>
        <w:t xml:space="preserve"> </w:t>
      </w:r>
    </w:p>
    <w:p w14:paraId="69A9A4E6" w14:textId="77777777" w:rsidR="00B64F46" w:rsidRDefault="00DC0569">
      <w:pPr>
        <w:numPr>
          <w:ilvl w:val="0"/>
          <w:numId w:val="7"/>
        </w:numPr>
        <w:spacing w:after="4" w:line="251" w:lineRule="auto"/>
        <w:ind w:hanging="360"/>
      </w:pPr>
      <w:r>
        <w:rPr>
          <w:b/>
        </w:rPr>
        <w:t>Who can parents contact for further information, and how can parents help?</w:t>
      </w:r>
      <w:r>
        <w:t xml:space="preserve"> </w:t>
      </w:r>
    </w:p>
    <w:p w14:paraId="2C27F25C" w14:textId="77777777" w:rsidR="00B64F46" w:rsidRDefault="00DC0569">
      <w:pPr>
        <w:spacing w:after="0" w:line="259" w:lineRule="auto"/>
        <w:ind w:left="1746" w:firstLine="0"/>
      </w:pPr>
      <w:r>
        <w:t xml:space="preserve"> </w:t>
      </w:r>
    </w:p>
    <w:p w14:paraId="13896EFE" w14:textId="77777777" w:rsidR="00B64F46" w:rsidRDefault="00DC0569">
      <w:pPr>
        <w:ind w:left="1021"/>
      </w:pPr>
      <w:r>
        <w:t xml:space="preserve">If parents/carers are considering whether to join Engineering UTC, they should in the first instance, contact the Admissions team at the UTC. </w:t>
      </w:r>
    </w:p>
    <w:p w14:paraId="1A73C943" w14:textId="77777777" w:rsidR="00B64F46" w:rsidRDefault="00DC0569">
      <w:pPr>
        <w:spacing w:after="23" w:line="259" w:lineRule="auto"/>
        <w:ind w:left="1026" w:firstLine="0"/>
      </w:pPr>
      <w:r>
        <w:t xml:space="preserve"> </w:t>
      </w:r>
    </w:p>
    <w:p w14:paraId="66FCD1A6" w14:textId="77777777" w:rsidR="00B64F46" w:rsidRDefault="00DC0569">
      <w:pPr>
        <w:ind w:left="1021"/>
      </w:pPr>
      <w:r>
        <w:t xml:space="preserve">The first point of contact for a parent, if they want to discuss something about their child’s SEND, would be with their child’s Learning Mentor. Parents may also contact the </w:t>
      </w:r>
      <w:proofErr w:type="spellStart"/>
      <w:r>
        <w:t>SENDCo</w:t>
      </w:r>
      <w:proofErr w:type="spellEnd"/>
      <w:r>
        <w:t xml:space="preserve"> or the Professional Standards and Inclusion Team.  </w:t>
      </w:r>
    </w:p>
    <w:p w14:paraId="0C03C3FF" w14:textId="77777777" w:rsidR="00B64F46" w:rsidRDefault="00DC0569">
      <w:pPr>
        <w:spacing w:after="34" w:line="259" w:lineRule="auto"/>
        <w:ind w:left="1026" w:firstLine="0"/>
      </w:pPr>
      <w:r>
        <w:t xml:space="preserve"> </w:t>
      </w:r>
    </w:p>
    <w:p w14:paraId="0782B654" w14:textId="7908D839" w:rsidR="00B64F46" w:rsidRDefault="00DC0569">
      <w:pPr>
        <w:spacing w:after="0"/>
        <w:ind w:left="1021" w:right="2204"/>
      </w:pPr>
      <w:r>
        <w:t xml:space="preserve">Parents can access family support via ‘Early Help’ and online </w:t>
      </w:r>
      <w:proofErr w:type="gramStart"/>
      <w:r>
        <w:t>at:</w:t>
      </w:r>
      <w:proofErr w:type="gramEnd"/>
      <w:r>
        <w:t xml:space="preserve"> </w:t>
      </w:r>
      <w:hyperlink r:id="rId11" w:history="1">
        <w:r w:rsidR="00046092">
          <w:rPr>
            <w:rStyle w:val="Hyperlink"/>
          </w:rPr>
          <w:t>SEND Local Offer | North Lincolnshire Special Educational Needs &amp; Disability (northlincslocaloffer.com)</w:t>
        </w:r>
      </w:hyperlink>
    </w:p>
    <w:p w14:paraId="3C9959D5" w14:textId="77777777" w:rsidR="00B64F46" w:rsidRDefault="00DC0569">
      <w:pPr>
        <w:spacing w:after="22" w:line="259" w:lineRule="auto"/>
        <w:ind w:left="1026" w:firstLine="0"/>
      </w:pPr>
      <w:r>
        <w:t xml:space="preserve"> </w:t>
      </w:r>
    </w:p>
    <w:p w14:paraId="62180563" w14:textId="77777777" w:rsidR="00B64F46" w:rsidRDefault="00DC0569">
      <w:pPr>
        <w:spacing w:after="0"/>
        <w:ind w:left="1021"/>
      </w:pPr>
      <w:r>
        <w:t xml:space="preserve">If parents are unhappy, in the first instance, they can contact the Leadership team at the UTC. If parents should feel further dissatisfied, they can write to the Principal. Outside independent support for parents is readily available from the Parent Partnership Service (their leaflets are available from the UTC). </w:t>
      </w:r>
    </w:p>
    <w:p w14:paraId="4E938BF8" w14:textId="77777777" w:rsidR="00B64F46" w:rsidRDefault="00DC0569">
      <w:pPr>
        <w:spacing w:after="0" w:line="259" w:lineRule="auto"/>
        <w:ind w:left="1026" w:firstLine="0"/>
      </w:pPr>
      <w:r>
        <w:rPr>
          <w:rFonts w:ascii="Calibri" w:eastAsia="Calibri" w:hAnsi="Calibri" w:cs="Calibri"/>
          <w:sz w:val="22"/>
        </w:rPr>
        <w:t xml:space="preserve"> </w:t>
      </w:r>
      <w:r>
        <w:rPr>
          <w:rFonts w:ascii="Calibri" w:eastAsia="Calibri" w:hAnsi="Calibri" w:cs="Calibri"/>
          <w:sz w:val="22"/>
        </w:rPr>
        <w:tab/>
        <w:t xml:space="preserve"> </w:t>
      </w:r>
      <w:r>
        <w:br w:type="page"/>
      </w:r>
    </w:p>
    <w:p w14:paraId="0D6D7D3E" w14:textId="2B87C574" w:rsidR="00B64F46" w:rsidRDefault="00DD54FE" w:rsidP="00046092">
      <w:pPr>
        <w:pStyle w:val="Heading1"/>
        <w:numPr>
          <w:ilvl w:val="0"/>
          <w:numId w:val="9"/>
        </w:numPr>
      </w:pPr>
      <w:r>
        <w:lastRenderedPageBreak/>
        <w:t xml:space="preserve">  </w:t>
      </w:r>
      <w:r w:rsidR="00DC0569">
        <w:t xml:space="preserve">GCSE results </w:t>
      </w:r>
    </w:p>
    <w:p w14:paraId="3C6A6653" w14:textId="77777777" w:rsidR="00B64F46" w:rsidRDefault="00DC0569">
      <w:pPr>
        <w:spacing w:after="160" w:line="259" w:lineRule="auto"/>
        <w:ind w:left="1026" w:firstLine="0"/>
      </w:pPr>
      <w:r>
        <w:rPr>
          <w:rFonts w:ascii="Calibri" w:eastAsia="Calibri" w:hAnsi="Calibri" w:cs="Calibri"/>
          <w:sz w:val="22"/>
        </w:rPr>
        <w:t xml:space="preserve"> </w:t>
      </w:r>
    </w:p>
    <w:p w14:paraId="58E45DD6" w14:textId="77777777" w:rsidR="00B64F46" w:rsidRDefault="00DC0569">
      <w:pPr>
        <w:spacing w:after="160" w:line="259" w:lineRule="auto"/>
        <w:ind w:left="1021"/>
      </w:pPr>
      <w:r>
        <w:rPr>
          <w:rFonts w:ascii="Calibri" w:eastAsia="Calibri" w:hAnsi="Calibri" w:cs="Calibri"/>
          <w:sz w:val="22"/>
        </w:rPr>
        <w:t xml:space="preserve">The following table shows the proportions of students who achieve levels 4 to 9 in each of the subjects shown.  The table </w:t>
      </w:r>
      <w:proofErr w:type="gramStart"/>
      <w:r>
        <w:rPr>
          <w:rFonts w:ascii="Calibri" w:eastAsia="Calibri" w:hAnsi="Calibri" w:cs="Calibri"/>
          <w:sz w:val="22"/>
        </w:rPr>
        <w:t>is divided</w:t>
      </w:r>
      <w:proofErr w:type="gramEnd"/>
      <w:r>
        <w:rPr>
          <w:rFonts w:ascii="Calibri" w:eastAsia="Calibri" w:hAnsi="Calibri" w:cs="Calibri"/>
          <w:sz w:val="22"/>
        </w:rPr>
        <w:t xml:space="preserve"> between those students who were identified with SEND and those not. </w:t>
      </w:r>
    </w:p>
    <w:p w14:paraId="4BF0B2DC" w14:textId="3AA44B65" w:rsidR="00B64F46" w:rsidRDefault="00DC0569">
      <w:pPr>
        <w:spacing w:after="161" w:line="259" w:lineRule="auto"/>
        <w:ind w:left="1026" w:firstLine="0"/>
      </w:pPr>
      <w:r>
        <w:rPr>
          <w:rFonts w:ascii="Calibri" w:eastAsia="Calibri" w:hAnsi="Calibri" w:cs="Calibri"/>
          <w:sz w:val="22"/>
        </w:rPr>
        <w:t xml:space="preserve"> </w:t>
      </w:r>
    </w:p>
    <w:p w14:paraId="6C0A6CC6" w14:textId="069E2436" w:rsidR="00B64F46" w:rsidRDefault="00DC0569">
      <w:pPr>
        <w:spacing w:after="0" w:line="259" w:lineRule="auto"/>
        <w:ind w:left="1026" w:firstLine="0"/>
      </w:pPr>
      <w:r>
        <w:rPr>
          <w:rFonts w:ascii="Calibri" w:eastAsia="Calibri" w:hAnsi="Calibri" w:cs="Calibri"/>
          <w:sz w:val="22"/>
        </w:rPr>
        <w:t xml:space="preserve"> </w:t>
      </w:r>
    </w:p>
    <w:p w14:paraId="66FBD360" w14:textId="1DCA864F" w:rsidR="00B64F46" w:rsidRDefault="00DC0569">
      <w:pPr>
        <w:pBdr>
          <w:top w:val="single" w:sz="8" w:space="0" w:color="000000"/>
          <w:left w:val="single" w:sz="8" w:space="0" w:color="000000"/>
          <w:bottom w:val="single" w:sz="8" w:space="0" w:color="000000"/>
          <w:right w:val="single" w:sz="8" w:space="0" w:color="000000"/>
        </w:pBdr>
        <w:spacing w:after="46" w:line="259" w:lineRule="auto"/>
        <w:ind w:left="30" w:firstLine="0"/>
      </w:pPr>
      <w:r>
        <w:rPr>
          <w:rFonts w:ascii="Calibri" w:eastAsia="Calibri" w:hAnsi="Calibri" w:cs="Calibri"/>
          <w:b/>
          <w:sz w:val="18"/>
        </w:rPr>
        <w:t xml:space="preserve">GCSE levels </w:t>
      </w:r>
    </w:p>
    <w:tbl>
      <w:tblPr>
        <w:tblpPr w:leftFromText="180" w:rightFromText="180" w:vertAnchor="text" w:horzAnchor="page" w:tblpX="1019" w:tblpY="170"/>
        <w:tblW w:w="8747" w:type="dxa"/>
        <w:shd w:val="clear" w:color="auto" w:fill="FFFFFF"/>
        <w:tblCellMar>
          <w:left w:w="0" w:type="dxa"/>
          <w:right w:w="0" w:type="dxa"/>
        </w:tblCellMar>
        <w:tblLook w:val="04A0" w:firstRow="1" w:lastRow="0" w:firstColumn="1" w:lastColumn="0" w:noHBand="0" w:noVBand="1"/>
      </w:tblPr>
      <w:tblGrid>
        <w:gridCol w:w="1431"/>
        <w:gridCol w:w="909"/>
        <w:gridCol w:w="764"/>
        <w:gridCol w:w="764"/>
        <w:gridCol w:w="652"/>
        <w:gridCol w:w="764"/>
        <w:gridCol w:w="764"/>
        <w:gridCol w:w="879"/>
        <w:gridCol w:w="910"/>
        <w:gridCol w:w="910"/>
      </w:tblGrid>
      <w:tr w:rsidR="00D130A4" w:rsidRPr="00096CB4" w14:paraId="5AE0CB2F" w14:textId="77777777" w:rsidTr="009F07FD">
        <w:trPr>
          <w:trHeight w:val="300"/>
        </w:trPr>
        <w:tc>
          <w:tcPr>
            <w:tcW w:w="1431" w:type="dxa"/>
            <w:shd w:val="clear" w:color="auto" w:fill="FFFFFF"/>
            <w:noWrap/>
            <w:tcMar>
              <w:top w:w="0" w:type="dxa"/>
              <w:left w:w="108" w:type="dxa"/>
              <w:bottom w:w="0" w:type="dxa"/>
              <w:right w:w="108" w:type="dxa"/>
            </w:tcMar>
            <w:vAlign w:val="bottom"/>
            <w:hideMark/>
          </w:tcPr>
          <w:p w14:paraId="14B27431" w14:textId="77777777" w:rsidR="00D130A4" w:rsidRPr="00096CB4" w:rsidRDefault="00D130A4" w:rsidP="009F07FD">
            <w:pPr>
              <w:spacing w:after="0" w:line="240" w:lineRule="auto"/>
              <w:ind w:left="0" w:firstLine="0"/>
              <w:rPr>
                <w:rFonts w:ascii="Calibri" w:eastAsia="Times New Roman" w:hAnsi="Calibri" w:cs="Calibri"/>
                <w:color w:val="201F1E"/>
                <w:sz w:val="22"/>
              </w:rPr>
            </w:pPr>
            <w:r w:rsidRPr="00096CB4">
              <w:rPr>
                <w:rFonts w:ascii="Calibri" w:eastAsia="Times New Roman" w:hAnsi="Calibri" w:cs="Calibri"/>
                <w:sz w:val="22"/>
                <w:bdr w:val="none" w:sz="0" w:space="0" w:color="auto" w:frame="1"/>
              </w:rPr>
              <w:t>GCSE levels 4-9</w:t>
            </w:r>
          </w:p>
        </w:tc>
        <w:tc>
          <w:tcPr>
            <w:tcW w:w="909" w:type="dxa"/>
            <w:shd w:val="clear" w:color="auto" w:fill="FFFFFF"/>
            <w:noWrap/>
            <w:tcMar>
              <w:top w:w="0" w:type="dxa"/>
              <w:left w:w="108" w:type="dxa"/>
              <w:bottom w:w="0" w:type="dxa"/>
              <w:right w:w="108" w:type="dxa"/>
            </w:tcMar>
            <w:vAlign w:val="bottom"/>
            <w:hideMark/>
          </w:tcPr>
          <w:p w14:paraId="1D204934" w14:textId="77777777" w:rsidR="00D130A4" w:rsidRPr="00096CB4" w:rsidRDefault="00D130A4" w:rsidP="009F07FD">
            <w:pPr>
              <w:spacing w:after="0" w:line="240" w:lineRule="auto"/>
              <w:ind w:left="0" w:firstLine="0"/>
              <w:rPr>
                <w:rFonts w:ascii="Calibri" w:eastAsia="Times New Roman" w:hAnsi="Calibri" w:cs="Calibri"/>
                <w:color w:val="201F1E"/>
                <w:sz w:val="22"/>
              </w:rPr>
            </w:pPr>
          </w:p>
        </w:tc>
        <w:tc>
          <w:tcPr>
            <w:tcW w:w="764" w:type="dxa"/>
            <w:shd w:val="clear" w:color="auto" w:fill="FFFFFF"/>
            <w:noWrap/>
            <w:tcMar>
              <w:top w:w="0" w:type="dxa"/>
              <w:left w:w="108" w:type="dxa"/>
              <w:bottom w:w="0" w:type="dxa"/>
              <w:right w:w="108" w:type="dxa"/>
            </w:tcMar>
            <w:vAlign w:val="bottom"/>
            <w:hideMark/>
          </w:tcPr>
          <w:p w14:paraId="7AA51BB7"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764" w:type="dxa"/>
            <w:shd w:val="clear" w:color="auto" w:fill="FFFFFF"/>
            <w:noWrap/>
            <w:tcMar>
              <w:top w:w="0" w:type="dxa"/>
              <w:left w:w="108" w:type="dxa"/>
              <w:bottom w:w="0" w:type="dxa"/>
              <w:right w:w="108" w:type="dxa"/>
            </w:tcMar>
            <w:vAlign w:val="bottom"/>
            <w:hideMark/>
          </w:tcPr>
          <w:p w14:paraId="2B2534CA"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652" w:type="dxa"/>
            <w:shd w:val="clear" w:color="auto" w:fill="FFFFFF"/>
            <w:noWrap/>
            <w:tcMar>
              <w:top w:w="0" w:type="dxa"/>
              <w:left w:w="108" w:type="dxa"/>
              <w:bottom w:w="0" w:type="dxa"/>
              <w:right w:w="108" w:type="dxa"/>
            </w:tcMar>
            <w:vAlign w:val="bottom"/>
            <w:hideMark/>
          </w:tcPr>
          <w:p w14:paraId="4D670638"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764" w:type="dxa"/>
            <w:shd w:val="clear" w:color="auto" w:fill="FFFFFF"/>
            <w:noWrap/>
            <w:tcMar>
              <w:top w:w="0" w:type="dxa"/>
              <w:left w:w="108" w:type="dxa"/>
              <w:bottom w:w="0" w:type="dxa"/>
              <w:right w:w="108" w:type="dxa"/>
            </w:tcMar>
            <w:vAlign w:val="bottom"/>
            <w:hideMark/>
          </w:tcPr>
          <w:p w14:paraId="04666E36"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764" w:type="dxa"/>
            <w:shd w:val="clear" w:color="auto" w:fill="FFFFFF"/>
            <w:noWrap/>
            <w:tcMar>
              <w:top w:w="0" w:type="dxa"/>
              <w:left w:w="108" w:type="dxa"/>
              <w:bottom w:w="0" w:type="dxa"/>
              <w:right w:w="108" w:type="dxa"/>
            </w:tcMar>
            <w:vAlign w:val="bottom"/>
            <w:hideMark/>
          </w:tcPr>
          <w:p w14:paraId="287B85FF"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879" w:type="dxa"/>
            <w:shd w:val="clear" w:color="auto" w:fill="FFFFFF"/>
            <w:noWrap/>
            <w:tcMar>
              <w:top w:w="0" w:type="dxa"/>
              <w:left w:w="108" w:type="dxa"/>
              <w:bottom w:w="0" w:type="dxa"/>
              <w:right w:w="108" w:type="dxa"/>
            </w:tcMar>
            <w:vAlign w:val="bottom"/>
            <w:hideMark/>
          </w:tcPr>
          <w:p w14:paraId="25D04109"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910" w:type="dxa"/>
            <w:shd w:val="clear" w:color="auto" w:fill="FFFFFF"/>
            <w:noWrap/>
            <w:tcMar>
              <w:top w:w="0" w:type="dxa"/>
              <w:left w:w="108" w:type="dxa"/>
              <w:bottom w:w="0" w:type="dxa"/>
              <w:right w:w="108" w:type="dxa"/>
            </w:tcMar>
            <w:vAlign w:val="bottom"/>
            <w:hideMark/>
          </w:tcPr>
          <w:p w14:paraId="415BAEFE"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910" w:type="dxa"/>
            <w:shd w:val="clear" w:color="auto" w:fill="FFFFFF"/>
            <w:noWrap/>
            <w:tcMar>
              <w:top w:w="0" w:type="dxa"/>
              <w:left w:w="108" w:type="dxa"/>
              <w:bottom w:w="0" w:type="dxa"/>
              <w:right w:w="108" w:type="dxa"/>
            </w:tcMar>
            <w:vAlign w:val="bottom"/>
            <w:hideMark/>
          </w:tcPr>
          <w:p w14:paraId="75550D01"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r>
      <w:tr w:rsidR="00D130A4" w:rsidRPr="00096CB4" w14:paraId="27231E42" w14:textId="77777777" w:rsidTr="009F07FD">
        <w:trPr>
          <w:trHeight w:val="300"/>
        </w:trPr>
        <w:tc>
          <w:tcPr>
            <w:tcW w:w="1431" w:type="dxa"/>
            <w:shd w:val="clear" w:color="auto" w:fill="FFFFFF"/>
            <w:noWrap/>
            <w:tcMar>
              <w:top w:w="0" w:type="dxa"/>
              <w:left w:w="108" w:type="dxa"/>
              <w:bottom w:w="0" w:type="dxa"/>
              <w:right w:w="108" w:type="dxa"/>
            </w:tcMar>
            <w:vAlign w:val="bottom"/>
            <w:hideMark/>
          </w:tcPr>
          <w:p w14:paraId="7CDFB299"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909" w:type="dxa"/>
            <w:shd w:val="clear" w:color="auto" w:fill="FFFFFF"/>
            <w:noWrap/>
            <w:tcMar>
              <w:top w:w="0" w:type="dxa"/>
              <w:left w:w="108" w:type="dxa"/>
              <w:bottom w:w="0" w:type="dxa"/>
              <w:right w:w="108" w:type="dxa"/>
            </w:tcMar>
            <w:vAlign w:val="bottom"/>
            <w:hideMark/>
          </w:tcPr>
          <w:p w14:paraId="2CD38055"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764" w:type="dxa"/>
            <w:shd w:val="clear" w:color="auto" w:fill="FFFFFF"/>
            <w:noWrap/>
            <w:tcMar>
              <w:top w:w="0" w:type="dxa"/>
              <w:left w:w="108" w:type="dxa"/>
              <w:bottom w:w="0" w:type="dxa"/>
              <w:right w:w="108" w:type="dxa"/>
            </w:tcMar>
            <w:vAlign w:val="bottom"/>
            <w:hideMark/>
          </w:tcPr>
          <w:p w14:paraId="48EF1452"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764" w:type="dxa"/>
            <w:shd w:val="clear" w:color="auto" w:fill="FFFFFF"/>
            <w:noWrap/>
            <w:tcMar>
              <w:top w:w="0" w:type="dxa"/>
              <w:left w:w="108" w:type="dxa"/>
              <w:bottom w:w="0" w:type="dxa"/>
              <w:right w:w="108" w:type="dxa"/>
            </w:tcMar>
            <w:vAlign w:val="bottom"/>
            <w:hideMark/>
          </w:tcPr>
          <w:p w14:paraId="16EB66A8"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652" w:type="dxa"/>
            <w:shd w:val="clear" w:color="auto" w:fill="FFFFFF"/>
            <w:noWrap/>
            <w:tcMar>
              <w:top w:w="0" w:type="dxa"/>
              <w:left w:w="108" w:type="dxa"/>
              <w:bottom w:w="0" w:type="dxa"/>
              <w:right w:w="108" w:type="dxa"/>
            </w:tcMar>
            <w:vAlign w:val="bottom"/>
            <w:hideMark/>
          </w:tcPr>
          <w:p w14:paraId="5FCDFED7"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764" w:type="dxa"/>
            <w:shd w:val="clear" w:color="auto" w:fill="FFFFFF"/>
            <w:noWrap/>
            <w:tcMar>
              <w:top w:w="0" w:type="dxa"/>
              <w:left w:w="108" w:type="dxa"/>
              <w:bottom w:w="0" w:type="dxa"/>
              <w:right w:w="108" w:type="dxa"/>
            </w:tcMar>
            <w:vAlign w:val="bottom"/>
            <w:hideMark/>
          </w:tcPr>
          <w:p w14:paraId="7CB666B4"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764" w:type="dxa"/>
            <w:shd w:val="clear" w:color="auto" w:fill="FFFFFF"/>
            <w:noWrap/>
            <w:tcMar>
              <w:top w:w="0" w:type="dxa"/>
              <w:left w:w="108" w:type="dxa"/>
              <w:bottom w:w="0" w:type="dxa"/>
              <w:right w:w="108" w:type="dxa"/>
            </w:tcMar>
            <w:vAlign w:val="bottom"/>
            <w:hideMark/>
          </w:tcPr>
          <w:p w14:paraId="18A49B38"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879" w:type="dxa"/>
            <w:shd w:val="clear" w:color="auto" w:fill="FFFFFF"/>
            <w:noWrap/>
            <w:tcMar>
              <w:top w:w="0" w:type="dxa"/>
              <w:left w:w="108" w:type="dxa"/>
              <w:bottom w:w="0" w:type="dxa"/>
              <w:right w:w="108" w:type="dxa"/>
            </w:tcMar>
            <w:vAlign w:val="bottom"/>
            <w:hideMark/>
          </w:tcPr>
          <w:p w14:paraId="7DE37EB8"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910" w:type="dxa"/>
            <w:shd w:val="clear" w:color="auto" w:fill="FFFFFF"/>
            <w:noWrap/>
            <w:tcMar>
              <w:top w:w="0" w:type="dxa"/>
              <w:left w:w="108" w:type="dxa"/>
              <w:bottom w:w="0" w:type="dxa"/>
              <w:right w:w="108" w:type="dxa"/>
            </w:tcMar>
            <w:vAlign w:val="bottom"/>
            <w:hideMark/>
          </w:tcPr>
          <w:p w14:paraId="1B814EB5"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c>
          <w:tcPr>
            <w:tcW w:w="910" w:type="dxa"/>
            <w:shd w:val="clear" w:color="auto" w:fill="FFFFFF"/>
            <w:noWrap/>
            <w:tcMar>
              <w:top w:w="0" w:type="dxa"/>
              <w:left w:w="108" w:type="dxa"/>
              <w:bottom w:w="0" w:type="dxa"/>
              <w:right w:w="108" w:type="dxa"/>
            </w:tcMar>
            <w:vAlign w:val="bottom"/>
            <w:hideMark/>
          </w:tcPr>
          <w:p w14:paraId="4AB544F4" w14:textId="77777777" w:rsidR="00D130A4" w:rsidRPr="00096CB4" w:rsidRDefault="00D130A4" w:rsidP="009F07FD">
            <w:pPr>
              <w:spacing w:after="0" w:line="240" w:lineRule="auto"/>
              <w:ind w:left="0" w:firstLine="0"/>
              <w:rPr>
                <w:rFonts w:ascii="Times New Roman" w:eastAsia="Times New Roman" w:hAnsi="Times New Roman" w:cs="Times New Roman"/>
                <w:color w:val="auto"/>
                <w:sz w:val="20"/>
                <w:szCs w:val="20"/>
              </w:rPr>
            </w:pPr>
          </w:p>
        </w:tc>
      </w:tr>
      <w:tr w:rsidR="00D130A4" w:rsidRPr="00096CB4" w14:paraId="5A776652" w14:textId="77777777" w:rsidTr="009F07FD">
        <w:trPr>
          <w:cantSplit/>
          <w:trHeight w:val="2490"/>
        </w:trPr>
        <w:tc>
          <w:tcPr>
            <w:tcW w:w="1431" w:type="dxa"/>
            <w:shd w:val="clear" w:color="auto" w:fill="FFFFFF"/>
            <w:noWrap/>
            <w:tcMar>
              <w:top w:w="0" w:type="dxa"/>
              <w:left w:w="108" w:type="dxa"/>
              <w:bottom w:w="0" w:type="dxa"/>
              <w:right w:w="108" w:type="dxa"/>
            </w:tcMar>
            <w:vAlign w:val="bottom"/>
            <w:hideMark/>
          </w:tcPr>
          <w:p w14:paraId="094C86BF" w14:textId="77777777" w:rsidR="00D130A4" w:rsidRPr="00096CB4" w:rsidRDefault="00D130A4" w:rsidP="009F07FD">
            <w:pPr>
              <w:spacing w:after="0" w:line="240" w:lineRule="auto"/>
              <w:ind w:left="0" w:firstLine="0"/>
              <w:rPr>
                <w:rFonts w:ascii="Calibri" w:eastAsia="Times New Roman" w:hAnsi="Calibri" w:cs="Calibri"/>
                <w:color w:val="201F1E"/>
                <w:sz w:val="22"/>
              </w:rPr>
            </w:pPr>
            <w:r w:rsidRPr="00096CB4">
              <w:rPr>
                <w:rFonts w:ascii="Calibri" w:eastAsia="Times New Roman" w:hAnsi="Calibri" w:cs="Calibri"/>
                <w:sz w:val="22"/>
                <w:bdr w:val="none" w:sz="0" w:space="0" w:color="auto" w:frame="1"/>
              </w:rPr>
              <w:t>Subject</w:t>
            </w:r>
          </w:p>
        </w:tc>
        <w:tc>
          <w:tcPr>
            <w:tcW w:w="909" w:type="dxa"/>
            <w:shd w:val="clear" w:color="auto" w:fill="FFFFFF"/>
            <w:noWrap/>
            <w:tcMar>
              <w:top w:w="0" w:type="dxa"/>
              <w:left w:w="108" w:type="dxa"/>
              <w:bottom w:w="0" w:type="dxa"/>
              <w:right w:w="108" w:type="dxa"/>
            </w:tcMar>
            <w:textDirection w:val="btLr"/>
            <w:vAlign w:val="bottom"/>
            <w:hideMark/>
          </w:tcPr>
          <w:p w14:paraId="57DA0CC6" w14:textId="77777777" w:rsidR="00D130A4" w:rsidRPr="00096CB4" w:rsidRDefault="00D130A4" w:rsidP="009F07FD">
            <w:pPr>
              <w:spacing w:after="0" w:line="240" w:lineRule="auto"/>
              <w:ind w:left="113" w:right="113"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Chemistry</w:t>
            </w:r>
          </w:p>
        </w:tc>
        <w:tc>
          <w:tcPr>
            <w:tcW w:w="764" w:type="dxa"/>
            <w:shd w:val="clear" w:color="auto" w:fill="FFFFFF"/>
            <w:noWrap/>
            <w:tcMar>
              <w:top w:w="0" w:type="dxa"/>
              <w:left w:w="108" w:type="dxa"/>
              <w:bottom w:w="0" w:type="dxa"/>
              <w:right w:w="108" w:type="dxa"/>
            </w:tcMar>
            <w:textDirection w:val="btLr"/>
            <w:vAlign w:val="bottom"/>
            <w:hideMark/>
          </w:tcPr>
          <w:p w14:paraId="6328FB64" w14:textId="77777777" w:rsidR="00D130A4" w:rsidRPr="00096CB4" w:rsidRDefault="00D130A4" w:rsidP="009F07FD">
            <w:pPr>
              <w:spacing w:after="0" w:line="240" w:lineRule="auto"/>
              <w:ind w:left="113" w:right="113"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Physics</w:t>
            </w:r>
          </w:p>
        </w:tc>
        <w:tc>
          <w:tcPr>
            <w:tcW w:w="764" w:type="dxa"/>
            <w:shd w:val="clear" w:color="auto" w:fill="FFFFFF"/>
            <w:noWrap/>
            <w:tcMar>
              <w:top w:w="0" w:type="dxa"/>
              <w:left w:w="108" w:type="dxa"/>
              <w:bottom w:w="0" w:type="dxa"/>
              <w:right w:w="108" w:type="dxa"/>
            </w:tcMar>
            <w:textDirection w:val="btLr"/>
            <w:vAlign w:val="bottom"/>
            <w:hideMark/>
          </w:tcPr>
          <w:p w14:paraId="36412802" w14:textId="77777777" w:rsidR="00D130A4" w:rsidRPr="00096CB4" w:rsidRDefault="00D130A4" w:rsidP="009F07FD">
            <w:pPr>
              <w:spacing w:after="0" w:line="240" w:lineRule="auto"/>
              <w:ind w:left="113" w:right="113"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Design and Technology</w:t>
            </w:r>
          </w:p>
        </w:tc>
        <w:tc>
          <w:tcPr>
            <w:tcW w:w="652" w:type="dxa"/>
            <w:shd w:val="clear" w:color="auto" w:fill="FFFFFF"/>
            <w:noWrap/>
            <w:tcMar>
              <w:top w:w="0" w:type="dxa"/>
              <w:left w:w="108" w:type="dxa"/>
              <w:bottom w:w="0" w:type="dxa"/>
              <w:right w:w="108" w:type="dxa"/>
            </w:tcMar>
            <w:textDirection w:val="btLr"/>
            <w:vAlign w:val="bottom"/>
            <w:hideMark/>
          </w:tcPr>
          <w:p w14:paraId="7CA8B827" w14:textId="77777777" w:rsidR="00D130A4" w:rsidRPr="00096CB4" w:rsidRDefault="00D130A4" w:rsidP="009F07FD">
            <w:pPr>
              <w:spacing w:after="0" w:line="240" w:lineRule="auto"/>
              <w:ind w:left="113" w:right="113"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Spanish</w:t>
            </w:r>
          </w:p>
        </w:tc>
        <w:tc>
          <w:tcPr>
            <w:tcW w:w="764" w:type="dxa"/>
            <w:shd w:val="clear" w:color="auto" w:fill="FFFFFF"/>
            <w:noWrap/>
            <w:tcMar>
              <w:top w:w="0" w:type="dxa"/>
              <w:left w:w="108" w:type="dxa"/>
              <w:bottom w:w="0" w:type="dxa"/>
              <w:right w:w="108" w:type="dxa"/>
            </w:tcMar>
            <w:textDirection w:val="btLr"/>
            <w:vAlign w:val="bottom"/>
            <w:hideMark/>
          </w:tcPr>
          <w:p w14:paraId="6FADB1CB" w14:textId="77777777" w:rsidR="00D130A4" w:rsidRPr="00096CB4" w:rsidRDefault="00D130A4" w:rsidP="009F07FD">
            <w:pPr>
              <w:spacing w:after="0" w:line="240" w:lineRule="auto"/>
              <w:ind w:left="113" w:right="113"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Maths</w:t>
            </w:r>
          </w:p>
        </w:tc>
        <w:tc>
          <w:tcPr>
            <w:tcW w:w="764" w:type="dxa"/>
            <w:shd w:val="clear" w:color="auto" w:fill="FFFFFF"/>
            <w:noWrap/>
            <w:tcMar>
              <w:top w:w="0" w:type="dxa"/>
              <w:left w:w="108" w:type="dxa"/>
              <w:bottom w:w="0" w:type="dxa"/>
              <w:right w:w="108" w:type="dxa"/>
            </w:tcMar>
            <w:textDirection w:val="btLr"/>
            <w:vAlign w:val="bottom"/>
            <w:hideMark/>
          </w:tcPr>
          <w:p w14:paraId="23E28D0A" w14:textId="77777777" w:rsidR="00D130A4" w:rsidRPr="00096CB4" w:rsidRDefault="00D130A4" w:rsidP="009F07FD">
            <w:pPr>
              <w:spacing w:after="0" w:line="240" w:lineRule="auto"/>
              <w:ind w:left="113" w:right="113"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English Language</w:t>
            </w:r>
          </w:p>
        </w:tc>
        <w:tc>
          <w:tcPr>
            <w:tcW w:w="879" w:type="dxa"/>
            <w:shd w:val="clear" w:color="auto" w:fill="FFFFFF"/>
            <w:noWrap/>
            <w:tcMar>
              <w:top w:w="0" w:type="dxa"/>
              <w:left w:w="108" w:type="dxa"/>
              <w:bottom w:w="0" w:type="dxa"/>
              <w:right w:w="108" w:type="dxa"/>
            </w:tcMar>
            <w:textDirection w:val="btLr"/>
            <w:vAlign w:val="bottom"/>
            <w:hideMark/>
          </w:tcPr>
          <w:p w14:paraId="45496B6F" w14:textId="77777777" w:rsidR="00D130A4" w:rsidRPr="00096CB4" w:rsidRDefault="00D130A4" w:rsidP="009F07FD">
            <w:pPr>
              <w:spacing w:after="0" w:line="240" w:lineRule="auto"/>
              <w:ind w:left="113" w:right="113"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English Literature</w:t>
            </w:r>
          </w:p>
        </w:tc>
        <w:tc>
          <w:tcPr>
            <w:tcW w:w="910" w:type="dxa"/>
            <w:shd w:val="clear" w:color="auto" w:fill="FFFFFF"/>
            <w:noWrap/>
            <w:tcMar>
              <w:top w:w="0" w:type="dxa"/>
              <w:left w:w="108" w:type="dxa"/>
              <w:bottom w:w="0" w:type="dxa"/>
              <w:right w:w="108" w:type="dxa"/>
            </w:tcMar>
            <w:textDirection w:val="btLr"/>
            <w:vAlign w:val="bottom"/>
            <w:hideMark/>
          </w:tcPr>
          <w:p w14:paraId="2CAB6102" w14:textId="77777777" w:rsidR="00D130A4" w:rsidRPr="00096CB4" w:rsidRDefault="00D130A4" w:rsidP="009F07FD">
            <w:pPr>
              <w:spacing w:after="0" w:line="240" w:lineRule="auto"/>
              <w:ind w:left="113" w:right="113"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Engineering Manufacture</w:t>
            </w:r>
          </w:p>
        </w:tc>
        <w:tc>
          <w:tcPr>
            <w:tcW w:w="910" w:type="dxa"/>
            <w:shd w:val="clear" w:color="auto" w:fill="FFFFFF"/>
            <w:noWrap/>
            <w:tcMar>
              <w:top w:w="0" w:type="dxa"/>
              <w:left w:w="108" w:type="dxa"/>
              <w:bottom w:w="0" w:type="dxa"/>
              <w:right w:w="108" w:type="dxa"/>
            </w:tcMar>
            <w:textDirection w:val="btLr"/>
            <w:vAlign w:val="bottom"/>
            <w:hideMark/>
          </w:tcPr>
          <w:p w14:paraId="45B561D8" w14:textId="77777777" w:rsidR="00D130A4" w:rsidRPr="00096CB4" w:rsidRDefault="00D130A4" w:rsidP="009F07FD">
            <w:pPr>
              <w:spacing w:after="0" w:line="240" w:lineRule="auto"/>
              <w:ind w:left="113" w:right="113"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Engineering Design</w:t>
            </w:r>
          </w:p>
        </w:tc>
      </w:tr>
      <w:tr w:rsidR="00D130A4" w:rsidRPr="00096CB4" w14:paraId="2D5C792C" w14:textId="77777777" w:rsidTr="009F07FD">
        <w:trPr>
          <w:trHeight w:val="300"/>
        </w:trPr>
        <w:tc>
          <w:tcPr>
            <w:tcW w:w="1431" w:type="dxa"/>
            <w:shd w:val="clear" w:color="auto" w:fill="FFFFFF"/>
            <w:noWrap/>
            <w:tcMar>
              <w:top w:w="0" w:type="dxa"/>
              <w:left w:w="108" w:type="dxa"/>
              <w:bottom w:w="0" w:type="dxa"/>
              <w:right w:w="108" w:type="dxa"/>
            </w:tcMar>
            <w:vAlign w:val="bottom"/>
            <w:hideMark/>
          </w:tcPr>
          <w:p w14:paraId="319D433D" w14:textId="77777777" w:rsidR="00D130A4" w:rsidRPr="00096CB4" w:rsidRDefault="00D130A4" w:rsidP="009F07FD">
            <w:pPr>
              <w:spacing w:after="0" w:line="240" w:lineRule="auto"/>
              <w:ind w:left="0" w:firstLine="0"/>
              <w:rPr>
                <w:rFonts w:ascii="Calibri" w:eastAsia="Times New Roman" w:hAnsi="Calibri" w:cs="Calibri"/>
                <w:color w:val="201F1E"/>
                <w:sz w:val="22"/>
              </w:rPr>
            </w:pPr>
            <w:r w:rsidRPr="00096CB4">
              <w:rPr>
                <w:rFonts w:ascii="Calibri" w:eastAsia="Times New Roman" w:hAnsi="Calibri" w:cs="Calibri"/>
                <w:sz w:val="22"/>
                <w:bdr w:val="none" w:sz="0" w:space="0" w:color="auto" w:frame="1"/>
              </w:rPr>
              <w:t>Send</w:t>
            </w:r>
          </w:p>
        </w:tc>
        <w:tc>
          <w:tcPr>
            <w:tcW w:w="909" w:type="dxa"/>
            <w:shd w:val="clear" w:color="auto" w:fill="FFFFFF"/>
            <w:noWrap/>
            <w:tcMar>
              <w:top w:w="0" w:type="dxa"/>
              <w:left w:w="108" w:type="dxa"/>
              <w:bottom w:w="0" w:type="dxa"/>
              <w:right w:w="108" w:type="dxa"/>
            </w:tcMar>
            <w:vAlign w:val="bottom"/>
            <w:hideMark/>
          </w:tcPr>
          <w:p w14:paraId="792940C4"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37.5%</w:t>
            </w:r>
          </w:p>
        </w:tc>
        <w:tc>
          <w:tcPr>
            <w:tcW w:w="764" w:type="dxa"/>
            <w:shd w:val="clear" w:color="auto" w:fill="FFFFFF"/>
            <w:noWrap/>
            <w:tcMar>
              <w:top w:w="0" w:type="dxa"/>
              <w:left w:w="108" w:type="dxa"/>
              <w:bottom w:w="0" w:type="dxa"/>
              <w:right w:w="108" w:type="dxa"/>
            </w:tcMar>
            <w:vAlign w:val="bottom"/>
            <w:hideMark/>
          </w:tcPr>
          <w:p w14:paraId="3EA69597"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43.8%</w:t>
            </w:r>
          </w:p>
        </w:tc>
        <w:tc>
          <w:tcPr>
            <w:tcW w:w="764" w:type="dxa"/>
            <w:shd w:val="clear" w:color="auto" w:fill="FFFFFF"/>
            <w:noWrap/>
            <w:tcMar>
              <w:top w:w="0" w:type="dxa"/>
              <w:left w:w="108" w:type="dxa"/>
              <w:bottom w:w="0" w:type="dxa"/>
              <w:right w:w="108" w:type="dxa"/>
            </w:tcMar>
            <w:vAlign w:val="bottom"/>
            <w:hideMark/>
          </w:tcPr>
          <w:p w14:paraId="17C59B66"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33.0%</w:t>
            </w:r>
          </w:p>
        </w:tc>
        <w:tc>
          <w:tcPr>
            <w:tcW w:w="652" w:type="dxa"/>
            <w:shd w:val="clear" w:color="auto" w:fill="FFFFFF"/>
            <w:noWrap/>
            <w:tcMar>
              <w:top w:w="0" w:type="dxa"/>
              <w:left w:w="108" w:type="dxa"/>
              <w:bottom w:w="0" w:type="dxa"/>
              <w:right w:w="108" w:type="dxa"/>
            </w:tcMar>
            <w:vAlign w:val="bottom"/>
            <w:hideMark/>
          </w:tcPr>
          <w:p w14:paraId="12E74DDB"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0.0%</w:t>
            </w:r>
          </w:p>
        </w:tc>
        <w:tc>
          <w:tcPr>
            <w:tcW w:w="764" w:type="dxa"/>
            <w:shd w:val="clear" w:color="auto" w:fill="FFFFFF"/>
            <w:noWrap/>
            <w:tcMar>
              <w:top w:w="0" w:type="dxa"/>
              <w:left w:w="108" w:type="dxa"/>
              <w:bottom w:w="0" w:type="dxa"/>
              <w:right w:w="108" w:type="dxa"/>
            </w:tcMar>
            <w:vAlign w:val="bottom"/>
            <w:hideMark/>
          </w:tcPr>
          <w:p w14:paraId="4EA28E12"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43.8%</w:t>
            </w:r>
          </w:p>
        </w:tc>
        <w:tc>
          <w:tcPr>
            <w:tcW w:w="764" w:type="dxa"/>
            <w:shd w:val="clear" w:color="auto" w:fill="FFFFFF"/>
            <w:noWrap/>
            <w:tcMar>
              <w:top w:w="0" w:type="dxa"/>
              <w:left w:w="108" w:type="dxa"/>
              <w:bottom w:w="0" w:type="dxa"/>
              <w:right w:w="108" w:type="dxa"/>
            </w:tcMar>
            <w:vAlign w:val="bottom"/>
            <w:hideMark/>
          </w:tcPr>
          <w:p w14:paraId="6106C52B"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50.0%</w:t>
            </w:r>
          </w:p>
        </w:tc>
        <w:tc>
          <w:tcPr>
            <w:tcW w:w="879" w:type="dxa"/>
            <w:shd w:val="clear" w:color="auto" w:fill="FFFFFF"/>
            <w:noWrap/>
            <w:tcMar>
              <w:top w:w="0" w:type="dxa"/>
              <w:left w:w="108" w:type="dxa"/>
              <w:bottom w:w="0" w:type="dxa"/>
              <w:right w:w="108" w:type="dxa"/>
            </w:tcMar>
            <w:vAlign w:val="bottom"/>
            <w:hideMark/>
          </w:tcPr>
          <w:p w14:paraId="5BC6DC29"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50.0%</w:t>
            </w:r>
          </w:p>
        </w:tc>
        <w:tc>
          <w:tcPr>
            <w:tcW w:w="910" w:type="dxa"/>
            <w:shd w:val="clear" w:color="auto" w:fill="FFFFFF"/>
            <w:noWrap/>
            <w:tcMar>
              <w:top w:w="0" w:type="dxa"/>
              <w:left w:w="108" w:type="dxa"/>
              <w:bottom w:w="0" w:type="dxa"/>
              <w:right w:w="108" w:type="dxa"/>
            </w:tcMar>
            <w:vAlign w:val="bottom"/>
            <w:hideMark/>
          </w:tcPr>
          <w:p w14:paraId="76F8ED0E"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100.0%</w:t>
            </w:r>
          </w:p>
        </w:tc>
        <w:tc>
          <w:tcPr>
            <w:tcW w:w="910" w:type="dxa"/>
            <w:shd w:val="clear" w:color="auto" w:fill="FFFFFF"/>
            <w:noWrap/>
            <w:tcMar>
              <w:top w:w="0" w:type="dxa"/>
              <w:left w:w="108" w:type="dxa"/>
              <w:bottom w:w="0" w:type="dxa"/>
              <w:right w:w="108" w:type="dxa"/>
            </w:tcMar>
            <w:vAlign w:val="bottom"/>
            <w:hideMark/>
          </w:tcPr>
          <w:p w14:paraId="46AB1BF6"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81.3%</w:t>
            </w:r>
          </w:p>
        </w:tc>
      </w:tr>
      <w:tr w:rsidR="00D130A4" w:rsidRPr="00096CB4" w14:paraId="062878E7" w14:textId="77777777" w:rsidTr="009F07FD">
        <w:trPr>
          <w:trHeight w:val="300"/>
        </w:trPr>
        <w:tc>
          <w:tcPr>
            <w:tcW w:w="1431" w:type="dxa"/>
            <w:shd w:val="clear" w:color="auto" w:fill="FFFFFF"/>
            <w:noWrap/>
            <w:tcMar>
              <w:top w:w="0" w:type="dxa"/>
              <w:left w:w="108" w:type="dxa"/>
              <w:bottom w:w="0" w:type="dxa"/>
              <w:right w:w="108" w:type="dxa"/>
            </w:tcMar>
            <w:vAlign w:val="bottom"/>
            <w:hideMark/>
          </w:tcPr>
          <w:p w14:paraId="4FA1476E" w14:textId="77777777" w:rsidR="00D130A4" w:rsidRPr="00096CB4" w:rsidRDefault="00D130A4" w:rsidP="009F07FD">
            <w:pPr>
              <w:spacing w:after="0" w:line="240" w:lineRule="auto"/>
              <w:ind w:left="0" w:firstLine="0"/>
              <w:rPr>
                <w:rFonts w:ascii="Calibri" w:eastAsia="Times New Roman" w:hAnsi="Calibri" w:cs="Calibri"/>
                <w:color w:val="201F1E"/>
                <w:sz w:val="22"/>
              </w:rPr>
            </w:pPr>
            <w:r w:rsidRPr="00096CB4">
              <w:rPr>
                <w:rFonts w:ascii="Calibri" w:eastAsia="Times New Roman" w:hAnsi="Calibri" w:cs="Calibri"/>
                <w:sz w:val="22"/>
                <w:bdr w:val="none" w:sz="0" w:space="0" w:color="auto" w:frame="1"/>
              </w:rPr>
              <w:t>Non SEND</w:t>
            </w:r>
          </w:p>
        </w:tc>
        <w:tc>
          <w:tcPr>
            <w:tcW w:w="909" w:type="dxa"/>
            <w:shd w:val="clear" w:color="auto" w:fill="FFFFFF"/>
            <w:noWrap/>
            <w:tcMar>
              <w:top w:w="0" w:type="dxa"/>
              <w:left w:w="108" w:type="dxa"/>
              <w:bottom w:w="0" w:type="dxa"/>
              <w:right w:w="108" w:type="dxa"/>
            </w:tcMar>
            <w:vAlign w:val="bottom"/>
            <w:hideMark/>
          </w:tcPr>
          <w:p w14:paraId="793E1482"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48.70%</w:t>
            </w:r>
          </w:p>
        </w:tc>
        <w:tc>
          <w:tcPr>
            <w:tcW w:w="764" w:type="dxa"/>
            <w:shd w:val="clear" w:color="auto" w:fill="FFFFFF"/>
            <w:noWrap/>
            <w:tcMar>
              <w:top w:w="0" w:type="dxa"/>
              <w:left w:w="108" w:type="dxa"/>
              <w:bottom w:w="0" w:type="dxa"/>
              <w:right w:w="108" w:type="dxa"/>
            </w:tcMar>
            <w:vAlign w:val="bottom"/>
            <w:hideMark/>
          </w:tcPr>
          <w:p w14:paraId="5DA5BF5A"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51.2%</w:t>
            </w:r>
          </w:p>
        </w:tc>
        <w:tc>
          <w:tcPr>
            <w:tcW w:w="764" w:type="dxa"/>
            <w:shd w:val="clear" w:color="auto" w:fill="FFFFFF"/>
            <w:noWrap/>
            <w:tcMar>
              <w:top w:w="0" w:type="dxa"/>
              <w:left w:w="108" w:type="dxa"/>
              <w:bottom w:w="0" w:type="dxa"/>
              <w:right w:w="108" w:type="dxa"/>
            </w:tcMar>
            <w:vAlign w:val="bottom"/>
            <w:hideMark/>
          </w:tcPr>
          <w:p w14:paraId="3AAAD0EA"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58.3%</w:t>
            </w:r>
          </w:p>
        </w:tc>
        <w:tc>
          <w:tcPr>
            <w:tcW w:w="652" w:type="dxa"/>
            <w:shd w:val="clear" w:color="auto" w:fill="FFFFFF"/>
            <w:noWrap/>
            <w:tcMar>
              <w:top w:w="0" w:type="dxa"/>
              <w:left w:w="108" w:type="dxa"/>
              <w:bottom w:w="0" w:type="dxa"/>
              <w:right w:w="108" w:type="dxa"/>
            </w:tcMar>
            <w:vAlign w:val="bottom"/>
            <w:hideMark/>
          </w:tcPr>
          <w:p w14:paraId="461D6617"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50%</w:t>
            </w:r>
          </w:p>
        </w:tc>
        <w:tc>
          <w:tcPr>
            <w:tcW w:w="764" w:type="dxa"/>
            <w:shd w:val="clear" w:color="auto" w:fill="FFFFFF"/>
            <w:noWrap/>
            <w:tcMar>
              <w:top w:w="0" w:type="dxa"/>
              <w:left w:w="108" w:type="dxa"/>
              <w:bottom w:w="0" w:type="dxa"/>
              <w:right w:w="108" w:type="dxa"/>
            </w:tcMar>
            <w:vAlign w:val="bottom"/>
            <w:hideMark/>
          </w:tcPr>
          <w:p w14:paraId="70E26C53"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71.8%</w:t>
            </w:r>
          </w:p>
        </w:tc>
        <w:tc>
          <w:tcPr>
            <w:tcW w:w="764" w:type="dxa"/>
            <w:shd w:val="clear" w:color="auto" w:fill="FFFFFF"/>
            <w:noWrap/>
            <w:tcMar>
              <w:top w:w="0" w:type="dxa"/>
              <w:left w:w="108" w:type="dxa"/>
              <w:bottom w:w="0" w:type="dxa"/>
              <w:right w:w="108" w:type="dxa"/>
            </w:tcMar>
            <w:vAlign w:val="bottom"/>
            <w:hideMark/>
          </w:tcPr>
          <w:p w14:paraId="2E69DFA6"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69.2%</w:t>
            </w:r>
          </w:p>
        </w:tc>
        <w:tc>
          <w:tcPr>
            <w:tcW w:w="879" w:type="dxa"/>
            <w:shd w:val="clear" w:color="auto" w:fill="FFFFFF"/>
            <w:noWrap/>
            <w:tcMar>
              <w:top w:w="0" w:type="dxa"/>
              <w:left w:w="108" w:type="dxa"/>
              <w:bottom w:w="0" w:type="dxa"/>
              <w:right w:w="108" w:type="dxa"/>
            </w:tcMar>
            <w:vAlign w:val="bottom"/>
            <w:hideMark/>
          </w:tcPr>
          <w:p w14:paraId="2EB5A6D1"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53.8%</w:t>
            </w:r>
          </w:p>
        </w:tc>
        <w:tc>
          <w:tcPr>
            <w:tcW w:w="910" w:type="dxa"/>
            <w:shd w:val="clear" w:color="auto" w:fill="FFFFFF"/>
            <w:noWrap/>
            <w:tcMar>
              <w:top w:w="0" w:type="dxa"/>
              <w:left w:w="108" w:type="dxa"/>
              <w:bottom w:w="0" w:type="dxa"/>
              <w:right w:w="108" w:type="dxa"/>
            </w:tcMar>
            <w:vAlign w:val="bottom"/>
            <w:hideMark/>
          </w:tcPr>
          <w:p w14:paraId="09CD6CA8"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87.1%</w:t>
            </w:r>
          </w:p>
        </w:tc>
        <w:tc>
          <w:tcPr>
            <w:tcW w:w="910" w:type="dxa"/>
            <w:shd w:val="clear" w:color="auto" w:fill="FFFFFF"/>
            <w:noWrap/>
            <w:tcMar>
              <w:top w:w="0" w:type="dxa"/>
              <w:left w:w="108" w:type="dxa"/>
              <w:bottom w:w="0" w:type="dxa"/>
              <w:right w:w="108" w:type="dxa"/>
            </w:tcMar>
            <w:vAlign w:val="bottom"/>
            <w:hideMark/>
          </w:tcPr>
          <w:p w14:paraId="28CE1C82" w14:textId="77777777" w:rsidR="00D130A4" w:rsidRPr="00096CB4" w:rsidRDefault="00D130A4" w:rsidP="009F07FD">
            <w:pPr>
              <w:spacing w:after="0" w:line="240" w:lineRule="auto"/>
              <w:ind w:left="0" w:firstLine="0"/>
              <w:jc w:val="right"/>
              <w:rPr>
                <w:rFonts w:ascii="Calibri" w:eastAsia="Times New Roman" w:hAnsi="Calibri" w:cs="Calibri"/>
                <w:color w:val="201F1E"/>
                <w:sz w:val="22"/>
              </w:rPr>
            </w:pPr>
            <w:r w:rsidRPr="00096CB4">
              <w:rPr>
                <w:rFonts w:ascii="Calibri" w:eastAsia="Times New Roman" w:hAnsi="Calibri" w:cs="Calibri"/>
                <w:sz w:val="22"/>
                <w:bdr w:val="none" w:sz="0" w:space="0" w:color="auto" w:frame="1"/>
              </w:rPr>
              <w:t>94.8%</w:t>
            </w:r>
          </w:p>
        </w:tc>
      </w:tr>
    </w:tbl>
    <w:p w14:paraId="6630E22E" w14:textId="0D74313E" w:rsidR="00096CB4" w:rsidRDefault="00096CB4" w:rsidP="00096CB4">
      <w:pPr>
        <w:ind w:left="0" w:firstLine="0"/>
      </w:pPr>
    </w:p>
    <w:p w14:paraId="5E00D3BB" w14:textId="77777777" w:rsidR="00D130A4" w:rsidRDefault="00D130A4" w:rsidP="00096CB4">
      <w:pPr>
        <w:ind w:left="0" w:firstLine="0"/>
        <w:rPr>
          <w:sz w:val="22"/>
        </w:rPr>
      </w:pPr>
    </w:p>
    <w:p w14:paraId="6427ED77" w14:textId="6ACDECDB" w:rsidR="00D130A4" w:rsidRDefault="00D130A4" w:rsidP="00096CB4">
      <w:pPr>
        <w:ind w:left="0" w:firstLine="0"/>
        <w:rPr>
          <w:sz w:val="22"/>
        </w:rPr>
      </w:pPr>
    </w:p>
    <w:p w14:paraId="79048CB5" w14:textId="3E970566" w:rsidR="00D130A4" w:rsidRDefault="00D130A4" w:rsidP="00096CB4">
      <w:pPr>
        <w:ind w:left="0" w:firstLine="0"/>
        <w:rPr>
          <w:sz w:val="22"/>
        </w:rPr>
      </w:pPr>
    </w:p>
    <w:p w14:paraId="42B6E775" w14:textId="7DDA3F54" w:rsidR="00D130A4" w:rsidRDefault="00D130A4" w:rsidP="00096CB4">
      <w:pPr>
        <w:ind w:left="0" w:firstLine="0"/>
        <w:rPr>
          <w:sz w:val="22"/>
        </w:rPr>
      </w:pPr>
    </w:p>
    <w:p w14:paraId="38BC72D3" w14:textId="308DE57D" w:rsidR="00D130A4" w:rsidRDefault="00D130A4" w:rsidP="00096CB4">
      <w:pPr>
        <w:ind w:left="0" w:firstLine="0"/>
        <w:rPr>
          <w:sz w:val="22"/>
        </w:rPr>
      </w:pPr>
    </w:p>
    <w:p w14:paraId="4EA9C846" w14:textId="6274F36E" w:rsidR="00D130A4" w:rsidRDefault="00D130A4" w:rsidP="00096CB4">
      <w:pPr>
        <w:ind w:left="0" w:firstLine="0"/>
        <w:rPr>
          <w:sz w:val="22"/>
        </w:rPr>
      </w:pPr>
    </w:p>
    <w:p w14:paraId="3BABA02C" w14:textId="422C9053" w:rsidR="00D130A4" w:rsidRDefault="00D130A4" w:rsidP="00096CB4">
      <w:pPr>
        <w:ind w:left="0" w:firstLine="0"/>
        <w:rPr>
          <w:sz w:val="22"/>
        </w:rPr>
      </w:pPr>
    </w:p>
    <w:p w14:paraId="42A99FE9" w14:textId="00688CBC" w:rsidR="00D130A4" w:rsidRDefault="00D130A4" w:rsidP="00096CB4">
      <w:pPr>
        <w:ind w:left="0" w:firstLine="0"/>
        <w:rPr>
          <w:sz w:val="22"/>
        </w:rPr>
      </w:pPr>
    </w:p>
    <w:p w14:paraId="45EBA8AA" w14:textId="7CB26D94" w:rsidR="00D130A4" w:rsidRDefault="00D130A4" w:rsidP="00096CB4">
      <w:pPr>
        <w:ind w:left="0" w:firstLine="0"/>
        <w:rPr>
          <w:sz w:val="22"/>
        </w:rPr>
      </w:pPr>
    </w:p>
    <w:p w14:paraId="6422BD9A" w14:textId="23D09A15" w:rsidR="00D130A4" w:rsidRDefault="00D130A4" w:rsidP="00096CB4">
      <w:pPr>
        <w:ind w:left="0" w:firstLine="0"/>
        <w:rPr>
          <w:sz w:val="22"/>
        </w:rPr>
      </w:pPr>
    </w:p>
    <w:p w14:paraId="14B3E901" w14:textId="54FE88E1" w:rsidR="00D130A4" w:rsidRDefault="00D130A4" w:rsidP="00096CB4">
      <w:pPr>
        <w:ind w:left="0" w:firstLine="0"/>
        <w:rPr>
          <w:sz w:val="22"/>
        </w:rPr>
      </w:pPr>
    </w:p>
    <w:p w14:paraId="43D5FE73" w14:textId="038F4C09" w:rsidR="00D130A4" w:rsidRDefault="00D130A4" w:rsidP="00096CB4">
      <w:pPr>
        <w:ind w:left="0" w:firstLine="0"/>
        <w:rPr>
          <w:sz w:val="22"/>
        </w:rPr>
      </w:pPr>
    </w:p>
    <w:p w14:paraId="2B64A8F9" w14:textId="4FB318AC" w:rsidR="00D130A4" w:rsidRDefault="00D130A4" w:rsidP="00096CB4">
      <w:pPr>
        <w:ind w:left="0" w:firstLine="0"/>
        <w:rPr>
          <w:sz w:val="22"/>
        </w:rPr>
      </w:pPr>
    </w:p>
    <w:p w14:paraId="24C64B83" w14:textId="77777777" w:rsidR="00D130A4" w:rsidRPr="009F07FD" w:rsidRDefault="00D130A4" w:rsidP="00096CB4">
      <w:pPr>
        <w:ind w:left="0" w:firstLine="0"/>
        <w:rPr>
          <w:rFonts w:asciiTheme="minorHAnsi" w:hAnsiTheme="minorHAnsi" w:cstheme="minorHAnsi"/>
          <w:sz w:val="22"/>
        </w:rPr>
      </w:pPr>
    </w:p>
    <w:p w14:paraId="3D91DE2E" w14:textId="00F6FE31" w:rsidR="00096CB4" w:rsidRPr="009F07FD" w:rsidRDefault="00096CB4" w:rsidP="00096CB4">
      <w:pPr>
        <w:ind w:left="0" w:firstLine="0"/>
        <w:rPr>
          <w:rFonts w:asciiTheme="minorHAnsi" w:hAnsiTheme="minorHAnsi" w:cstheme="minorHAnsi"/>
          <w:sz w:val="22"/>
        </w:rPr>
      </w:pPr>
      <w:r w:rsidRPr="009F07FD">
        <w:rPr>
          <w:rFonts w:asciiTheme="minorHAnsi" w:hAnsiTheme="minorHAnsi" w:cstheme="minorHAnsi"/>
          <w:sz w:val="22"/>
        </w:rPr>
        <w:t xml:space="preserve">Mathematics </w:t>
      </w:r>
      <w:r w:rsidR="00D130A4" w:rsidRPr="009F07FD">
        <w:rPr>
          <w:rFonts w:asciiTheme="minorHAnsi" w:hAnsiTheme="minorHAnsi" w:cstheme="minorHAnsi"/>
          <w:sz w:val="22"/>
        </w:rPr>
        <w:t>and design Technology clearly show some of the larger</w:t>
      </w:r>
      <w:r w:rsidRPr="009F07FD">
        <w:rPr>
          <w:rFonts w:asciiTheme="minorHAnsi" w:hAnsiTheme="minorHAnsi" w:cstheme="minorHAnsi"/>
          <w:sz w:val="22"/>
        </w:rPr>
        <w:t xml:space="preserve"> differences, Computer science is greater but it only reflects results from fourteen students.</w:t>
      </w:r>
      <w:r w:rsidR="00D130A4" w:rsidRPr="009F07FD">
        <w:rPr>
          <w:rFonts w:asciiTheme="minorHAnsi" w:hAnsiTheme="minorHAnsi" w:cstheme="minorHAnsi"/>
          <w:sz w:val="22"/>
        </w:rPr>
        <w:t xml:space="preserve"> Spanish comprised of jus</w:t>
      </w:r>
      <w:r w:rsidR="009F07FD">
        <w:rPr>
          <w:rFonts w:asciiTheme="minorHAnsi" w:hAnsiTheme="minorHAnsi" w:cstheme="minorHAnsi"/>
          <w:sz w:val="22"/>
        </w:rPr>
        <w:t xml:space="preserve">t four students so there is not a comparison that </w:t>
      </w:r>
      <w:proofErr w:type="gramStart"/>
      <w:r w:rsidR="009F07FD">
        <w:rPr>
          <w:rFonts w:asciiTheme="minorHAnsi" w:hAnsiTheme="minorHAnsi" w:cstheme="minorHAnsi"/>
          <w:sz w:val="22"/>
        </w:rPr>
        <w:t>can be made</w:t>
      </w:r>
      <w:proofErr w:type="gramEnd"/>
      <w:r w:rsidR="009F07FD">
        <w:rPr>
          <w:rFonts w:asciiTheme="minorHAnsi" w:hAnsiTheme="minorHAnsi" w:cstheme="minorHAnsi"/>
          <w:sz w:val="22"/>
        </w:rPr>
        <w:t>.</w:t>
      </w:r>
    </w:p>
    <w:p w14:paraId="29B2EA8C" w14:textId="7C61EDFA" w:rsidR="00096CB4" w:rsidRDefault="00096CB4" w:rsidP="00096CB4"/>
    <w:p w14:paraId="53F385E8" w14:textId="77777777" w:rsidR="00B64F46" w:rsidRPr="00096CB4" w:rsidRDefault="00B64F46" w:rsidP="00096CB4">
      <w:bookmarkStart w:id="0" w:name="_GoBack"/>
      <w:bookmarkEnd w:id="0"/>
    </w:p>
    <w:sectPr w:rsidR="00B64F46" w:rsidRPr="00096CB4">
      <w:pgSz w:w="11905" w:h="16840"/>
      <w:pgMar w:top="473" w:right="1434" w:bottom="1460" w:left="41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4C23"/>
    <w:multiLevelType w:val="hybridMultilevel"/>
    <w:tmpl w:val="39D066E0"/>
    <w:lvl w:ilvl="0" w:tplc="32542EA2">
      <w:start w:val="1"/>
      <w:numFmt w:val="bullet"/>
      <w:lvlText w:val="•"/>
      <w:lvlJc w:val="left"/>
      <w:pPr>
        <w:ind w:left="1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1A7CE0">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0EF6B8">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16A31B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3C48AE">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B469C2">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60C2C4">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6E0BDA">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0C0140">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465DF6"/>
    <w:multiLevelType w:val="hybridMultilevel"/>
    <w:tmpl w:val="FC4449C6"/>
    <w:lvl w:ilvl="0" w:tplc="A63AAB12">
      <w:start w:val="1"/>
      <w:numFmt w:val="decimal"/>
      <w:lvlText w:val="%1."/>
      <w:lvlJc w:val="left"/>
      <w:pPr>
        <w:ind w:left="17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1DA2FC0">
      <w:start w:val="1"/>
      <w:numFmt w:val="lowerLetter"/>
      <w:lvlText w:val="%2"/>
      <w:lvlJc w:val="left"/>
      <w:pPr>
        <w:ind w:left="1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A585D2C">
      <w:start w:val="1"/>
      <w:numFmt w:val="lowerRoman"/>
      <w:lvlText w:val="%3"/>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F82C3C68">
      <w:start w:val="1"/>
      <w:numFmt w:val="decimal"/>
      <w:lvlText w:val="%4"/>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2D810B6">
      <w:start w:val="1"/>
      <w:numFmt w:val="lowerLetter"/>
      <w:lvlText w:val="%5"/>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710C3280">
      <w:start w:val="1"/>
      <w:numFmt w:val="lowerRoman"/>
      <w:lvlText w:val="%6"/>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9FC17C2">
      <w:start w:val="1"/>
      <w:numFmt w:val="decimal"/>
      <w:lvlText w:val="%7"/>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724DBF4">
      <w:start w:val="1"/>
      <w:numFmt w:val="lowerLetter"/>
      <w:lvlText w:val="%8"/>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DE23DEC">
      <w:start w:val="1"/>
      <w:numFmt w:val="lowerRoman"/>
      <w:lvlText w:val="%9"/>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0C75FD"/>
    <w:multiLevelType w:val="hybridMultilevel"/>
    <w:tmpl w:val="64E40238"/>
    <w:lvl w:ilvl="0" w:tplc="8D323EEE">
      <w:start w:val="9"/>
      <w:numFmt w:val="decimal"/>
      <w:lvlText w:val="%1."/>
      <w:lvlJc w:val="left"/>
      <w:pPr>
        <w:ind w:left="17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1B072D0">
      <w:start w:val="1"/>
      <w:numFmt w:val="lowerLetter"/>
      <w:lvlText w:val="%2"/>
      <w:lvlJc w:val="left"/>
      <w:pPr>
        <w:ind w:left="1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5349938">
      <w:start w:val="1"/>
      <w:numFmt w:val="lowerRoman"/>
      <w:lvlText w:val="%3"/>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9F4FC0E">
      <w:start w:val="1"/>
      <w:numFmt w:val="decimal"/>
      <w:lvlText w:val="%4"/>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5C08CC8">
      <w:start w:val="1"/>
      <w:numFmt w:val="lowerLetter"/>
      <w:lvlText w:val="%5"/>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70C46FC">
      <w:start w:val="1"/>
      <w:numFmt w:val="lowerRoman"/>
      <w:lvlText w:val="%6"/>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ADF2C172">
      <w:start w:val="1"/>
      <w:numFmt w:val="decimal"/>
      <w:lvlText w:val="%7"/>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B50E7F36">
      <w:start w:val="1"/>
      <w:numFmt w:val="lowerLetter"/>
      <w:lvlText w:val="%8"/>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3AA6166">
      <w:start w:val="1"/>
      <w:numFmt w:val="lowerRoman"/>
      <w:lvlText w:val="%9"/>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E660BE"/>
    <w:multiLevelType w:val="hybridMultilevel"/>
    <w:tmpl w:val="03C28C84"/>
    <w:lvl w:ilvl="0" w:tplc="7512920A">
      <w:start w:val="2020"/>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F6688B"/>
    <w:multiLevelType w:val="hybridMultilevel"/>
    <w:tmpl w:val="B1464652"/>
    <w:lvl w:ilvl="0" w:tplc="4EAC6EEE">
      <w:start w:val="13"/>
      <w:numFmt w:val="decimal"/>
      <w:lvlText w:val="%1."/>
      <w:lvlJc w:val="left"/>
      <w:pPr>
        <w:ind w:left="17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42CDFCE">
      <w:start w:val="1"/>
      <w:numFmt w:val="lowerLetter"/>
      <w:lvlText w:val="%2"/>
      <w:lvlJc w:val="left"/>
      <w:pPr>
        <w:ind w:left="1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7E3C2318">
      <w:start w:val="1"/>
      <w:numFmt w:val="lowerRoman"/>
      <w:lvlText w:val="%3"/>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C9347336">
      <w:start w:val="1"/>
      <w:numFmt w:val="decimal"/>
      <w:lvlText w:val="%4"/>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408C946E">
      <w:start w:val="1"/>
      <w:numFmt w:val="lowerLetter"/>
      <w:lvlText w:val="%5"/>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7BE7FC8">
      <w:start w:val="1"/>
      <w:numFmt w:val="lowerRoman"/>
      <w:lvlText w:val="%6"/>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45E60EE">
      <w:start w:val="1"/>
      <w:numFmt w:val="decimal"/>
      <w:lvlText w:val="%7"/>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271E02B0">
      <w:start w:val="1"/>
      <w:numFmt w:val="lowerLetter"/>
      <w:lvlText w:val="%8"/>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8EB66186">
      <w:start w:val="1"/>
      <w:numFmt w:val="lowerRoman"/>
      <w:lvlText w:val="%9"/>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166644A"/>
    <w:multiLevelType w:val="hybridMultilevel"/>
    <w:tmpl w:val="5290CE42"/>
    <w:lvl w:ilvl="0" w:tplc="3F18D3A6">
      <w:start w:val="2019"/>
      <w:numFmt w:val="decimal"/>
      <w:pStyle w:val="Heading1"/>
      <w:lvlText w:val="%1"/>
      <w:lvlJc w:val="left"/>
      <w:pPr>
        <w:ind w:left="0"/>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1" w:tplc="147E9308">
      <w:start w:val="1"/>
      <w:numFmt w:val="lowerLetter"/>
      <w:lvlText w:val="%2"/>
      <w:lvlJc w:val="left"/>
      <w:pPr>
        <w:ind w:left="210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2" w:tplc="3F6A44DA">
      <w:start w:val="1"/>
      <w:numFmt w:val="lowerRoman"/>
      <w:lvlText w:val="%3"/>
      <w:lvlJc w:val="left"/>
      <w:pPr>
        <w:ind w:left="282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3" w:tplc="D084EA12">
      <w:start w:val="1"/>
      <w:numFmt w:val="decimal"/>
      <w:lvlText w:val="%4"/>
      <w:lvlJc w:val="left"/>
      <w:pPr>
        <w:ind w:left="354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4" w:tplc="70C47AD6">
      <w:start w:val="1"/>
      <w:numFmt w:val="lowerLetter"/>
      <w:lvlText w:val="%5"/>
      <w:lvlJc w:val="left"/>
      <w:pPr>
        <w:ind w:left="426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5" w:tplc="C1D49A06">
      <w:start w:val="1"/>
      <w:numFmt w:val="lowerRoman"/>
      <w:lvlText w:val="%6"/>
      <w:lvlJc w:val="left"/>
      <w:pPr>
        <w:ind w:left="498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6" w:tplc="6826FBEE">
      <w:start w:val="1"/>
      <w:numFmt w:val="decimal"/>
      <w:lvlText w:val="%7"/>
      <w:lvlJc w:val="left"/>
      <w:pPr>
        <w:ind w:left="570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7" w:tplc="8E68B630">
      <w:start w:val="1"/>
      <w:numFmt w:val="lowerLetter"/>
      <w:lvlText w:val="%8"/>
      <w:lvlJc w:val="left"/>
      <w:pPr>
        <w:ind w:left="642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lvl w:ilvl="8" w:tplc="D88AAB44">
      <w:start w:val="1"/>
      <w:numFmt w:val="lowerRoman"/>
      <w:lvlText w:val="%9"/>
      <w:lvlJc w:val="left"/>
      <w:pPr>
        <w:ind w:left="7146"/>
      </w:pPr>
      <w:rPr>
        <w:rFonts w:ascii="Calibri" w:eastAsia="Calibri" w:hAnsi="Calibri" w:cs="Calibri"/>
        <w:b w:val="0"/>
        <w:i w:val="0"/>
        <w:strike w:val="0"/>
        <w:dstrike w:val="0"/>
        <w:color w:val="000000"/>
        <w:sz w:val="56"/>
        <w:szCs w:val="56"/>
        <w:u w:val="none" w:color="000000"/>
        <w:bdr w:val="none" w:sz="0" w:space="0" w:color="auto"/>
        <w:shd w:val="clear" w:color="auto" w:fill="auto"/>
        <w:vertAlign w:val="baseline"/>
      </w:rPr>
    </w:lvl>
  </w:abstractNum>
  <w:abstractNum w:abstractNumId="6" w15:restartNumberingAfterBreak="0">
    <w:nsid w:val="71DC58FB"/>
    <w:multiLevelType w:val="hybridMultilevel"/>
    <w:tmpl w:val="BF081D58"/>
    <w:lvl w:ilvl="0" w:tplc="1C040642">
      <w:start w:val="1"/>
      <w:numFmt w:val="bullet"/>
      <w:lvlText w:val="•"/>
      <w:lvlJc w:val="left"/>
      <w:pPr>
        <w:ind w:left="1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627294">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0865DEE">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B25718">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BE2AA8">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524C8E">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AE0C16">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42B31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C68EAE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9436382"/>
    <w:multiLevelType w:val="hybridMultilevel"/>
    <w:tmpl w:val="603E8FD0"/>
    <w:lvl w:ilvl="0" w:tplc="9B7A112C">
      <w:start w:val="5"/>
      <w:numFmt w:val="decimal"/>
      <w:lvlText w:val="%1."/>
      <w:lvlJc w:val="left"/>
      <w:pPr>
        <w:ind w:left="173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E467D16">
      <w:start w:val="1"/>
      <w:numFmt w:val="lowerLetter"/>
      <w:lvlText w:val="%2"/>
      <w:lvlJc w:val="left"/>
      <w:pPr>
        <w:ind w:left="14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746B7E8">
      <w:start w:val="1"/>
      <w:numFmt w:val="lowerRoman"/>
      <w:lvlText w:val="%3"/>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30207CA">
      <w:start w:val="1"/>
      <w:numFmt w:val="decimal"/>
      <w:lvlText w:val="%4"/>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3804A98">
      <w:start w:val="1"/>
      <w:numFmt w:val="lowerLetter"/>
      <w:lvlText w:val="%5"/>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C141792">
      <w:start w:val="1"/>
      <w:numFmt w:val="lowerRoman"/>
      <w:lvlText w:val="%6"/>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B6C3AB8">
      <w:start w:val="1"/>
      <w:numFmt w:val="decimal"/>
      <w:lvlText w:val="%7"/>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C8FDBA">
      <w:start w:val="1"/>
      <w:numFmt w:val="lowerLetter"/>
      <w:lvlText w:val="%8"/>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66D80D0C">
      <w:start w:val="1"/>
      <w:numFmt w:val="lowerRoman"/>
      <w:lvlText w:val="%9"/>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C465088"/>
    <w:multiLevelType w:val="hybridMultilevel"/>
    <w:tmpl w:val="74DC8B38"/>
    <w:lvl w:ilvl="0" w:tplc="59AEC70E">
      <w:start w:val="1"/>
      <w:numFmt w:val="bullet"/>
      <w:lvlText w:val="•"/>
      <w:lvlJc w:val="left"/>
      <w:pPr>
        <w:ind w:left="17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B6683E">
      <w:start w:val="1"/>
      <w:numFmt w:val="bullet"/>
      <w:lvlText w:val="o"/>
      <w:lvlJc w:val="left"/>
      <w:pPr>
        <w:ind w:left="14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EA826C">
      <w:start w:val="1"/>
      <w:numFmt w:val="bullet"/>
      <w:lvlText w:val="▪"/>
      <w:lvlJc w:val="left"/>
      <w:pPr>
        <w:ind w:left="21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172B940">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3EC57A">
      <w:start w:val="1"/>
      <w:numFmt w:val="bullet"/>
      <w:lvlText w:val="o"/>
      <w:lvlJc w:val="left"/>
      <w:pPr>
        <w:ind w:left="36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10813A">
      <w:start w:val="1"/>
      <w:numFmt w:val="bullet"/>
      <w:lvlText w:val="▪"/>
      <w:lvlJc w:val="left"/>
      <w:pPr>
        <w:ind w:left="43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2E2CB2">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4CB4A4">
      <w:start w:val="1"/>
      <w:numFmt w:val="bullet"/>
      <w:lvlText w:val="o"/>
      <w:lvlJc w:val="left"/>
      <w:pPr>
        <w:ind w:left="57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CAFF2">
      <w:start w:val="1"/>
      <w:numFmt w:val="bullet"/>
      <w:lvlText w:val="▪"/>
      <w:lvlJc w:val="left"/>
      <w:pPr>
        <w:ind w:left="64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7"/>
  </w:num>
  <w:num w:numId="4">
    <w:abstractNumId w:val="8"/>
  </w:num>
  <w:num w:numId="5">
    <w:abstractNumId w:val="2"/>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46"/>
    <w:rsid w:val="00046092"/>
    <w:rsid w:val="00096CB4"/>
    <w:rsid w:val="009F07FD"/>
    <w:rsid w:val="00B64F46"/>
    <w:rsid w:val="00D130A4"/>
    <w:rsid w:val="00DA6FA7"/>
    <w:rsid w:val="00DC0569"/>
    <w:rsid w:val="00DD5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22DA9"/>
  <w15:docId w15:val="{1CE782CF-75DE-4355-9F4E-8A1DB4F4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6" w:line="249" w:lineRule="auto"/>
      <w:ind w:left="1396" w:hanging="10"/>
    </w:pPr>
    <w:rPr>
      <w:rFonts w:ascii="Arial" w:eastAsia="Arial" w:hAnsi="Arial" w:cs="Arial"/>
      <w:color w:val="000000"/>
      <w:sz w:val="24"/>
    </w:rPr>
  </w:style>
  <w:style w:type="paragraph" w:styleId="Heading1">
    <w:name w:val="heading 1"/>
    <w:next w:val="Normal"/>
    <w:link w:val="Heading1Char"/>
    <w:uiPriority w:val="9"/>
    <w:qFormat/>
    <w:pPr>
      <w:keepNext/>
      <w:keepLines/>
      <w:numPr>
        <w:numId w:val="8"/>
      </w:numPr>
      <w:spacing w:after="0"/>
      <w:ind w:left="1026"/>
      <w:outlineLvl w:val="0"/>
    </w:pPr>
    <w:rPr>
      <w:rFonts w:ascii="Calibri" w:eastAsia="Calibri" w:hAnsi="Calibri" w:cs="Calibri"/>
      <w:color w:val="000000"/>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5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46092"/>
    <w:rPr>
      <w:color w:val="0563C1" w:themeColor="hyperlink"/>
      <w:u w:val="single"/>
    </w:rPr>
  </w:style>
  <w:style w:type="character" w:customStyle="1" w:styleId="UnresolvedMention">
    <w:name w:val="Unresolved Mention"/>
    <w:basedOn w:val="DefaultParagraphFont"/>
    <w:uiPriority w:val="99"/>
    <w:semiHidden/>
    <w:unhideWhenUsed/>
    <w:rsid w:val="00046092"/>
    <w:rPr>
      <w:color w:val="605E5C"/>
      <w:shd w:val="clear" w:color="auto" w:fill="E1DFDD"/>
    </w:rPr>
  </w:style>
  <w:style w:type="paragraph" w:customStyle="1" w:styleId="Default">
    <w:name w:val="Default"/>
    <w:rsid w:val="00DC0569"/>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rmalWeb">
    <w:name w:val="Normal (Web)"/>
    <w:basedOn w:val="Normal"/>
    <w:uiPriority w:val="99"/>
    <w:semiHidden/>
    <w:unhideWhenUsed/>
    <w:rsid w:val="00096CB4"/>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528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hyperlink" Target="http://www.northlincslocaloffer.com/" TargetMode="Externa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A11A525-2F24-42A0-918E-FA8B8C380372}"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GB"/>
        </a:p>
      </dgm:t>
    </dgm:pt>
    <dgm:pt modelId="{2551B69F-4D2E-4489-95B5-F375E81DE330}">
      <dgm:prSet phldrT="[Text]"/>
      <dgm:spPr/>
      <dgm:t>
        <a:bodyPr/>
        <a:lstStyle/>
        <a:p>
          <a:pPr algn="ctr"/>
          <a:r>
            <a:rPr lang="en-GB"/>
            <a:t>Plan</a:t>
          </a:r>
        </a:p>
      </dgm:t>
    </dgm:pt>
    <dgm:pt modelId="{677D5597-50C3-49FA-A65E-318D86D9F5D8}" type="parTrans" cxnId="{A72229E5-A087-4A40-97DA-21A14A300596}">
      <dgm:prSet/>
      <dgm:spPr/>
      <dgm:t>
        <a:bodyPr/>
        <a:lstStyle/>
        <a:p>
          <a:pPr algn="ctr"/>
          <a:endParaRPr lang="en-GB"/>
        </a:p>
      </dgm:t>
    </dgm:pt>
    <dgm:pt modelId="{68281954-932F-4FB6-88A4-47D1FA15CD84}" type="sibTrans" cxnId="{A72229E5-A087-4A40-97DA-21A14A300596}">
      <dgm:prSet/>
      <dgm:spPr/>
      <dgm:t>
        <a:bodyPr/>
        <a:lstStyle/>
        <a:p>
          <a:pPr algn="ctr"/>
          <a:endParaRPr lang="en-GB"/>
        </a:p>
      </dgm:t>
    </dgm:pt>
    <dgm:pt modelId="{BB06E421-F019-43BE-8DF1-BCDB3715AC8A}">
      <dgm:prSet phldrT="[Text]"/>
      <dgm:spPr/>
      <dgm:t>
        <a:bodyPr/>
        <a:lstStyle/>
        <a:p>
          <a:pPr algn="ctr"/>
          <a:r>
            <a:rPr lang="en-GB"/>
            <a:t>Do</a:t>
          </a:r>
        </a:p>
      </dgm:t>
    </dgm:pt>
    <dgm:pt modelId="{BCAC5748-9504-4906-8C9E-7450410628FE}" type="parTrans" cxnId="{5A3F18FF-DF7B-4FF2-9F5E-C6398AF6BD9C}">
      <dgm:prSet/>
      <dgm:spPr/>
      <dgm:t>
        <a:bodyPr/>
        <a:lstStyle/>
        <a:p>
          <a:pPr algn="ctr"/>
          <a:endParaRPr lang="en-GB"/>
        </a:p>
      </dgm:t>
    </dgm:pt>
    <dgm:pt modelId="{522E8076-E4CB-49D6-BE21-81151C335A05}" type="sibTrans" cxnId="{5A3F18FF-DF7B-4FF2-9F5E-C6398AF6BD9C}">
      <dgm:prSet/>
      <dgm:spPr/>
      <dgm:t>
        <a:bodyPr/>
        <a:lstStyle/>
        <a:p>
          <a:pPr algn="ctr"/>
          <a:endParaRPr lang="en-GB"/>
        </a:p>
      </dgm:t>
    </dgm:pt>
    <dgm:pt modelId="{4D13B9C1-FCA5-4FD2-9B70-79FE4163F71A}">
      <dgm:prSet phldrT="[Text]"/>
      <dgm:spPr/>
      <dgm:t>
        <a:bodyPr/>
        <a:lstStyle/>
        <a:p>
          <a:pPr algn="ctr"/>
          <a:r>
            <a:rPr lang="en-GB"/>
            <a:t>Review</a:t>
          </a:r>
        </a:p>
      </dgm:t>
    </dgm:pt>
    <dgm:pt modelId="{BB2F63CA-2CA6-44AC-8410-48AE81332DB7}" type="parTrans" cxnId="{72AD9C04-6D95-45C4-A5C3-AF66742AD416}">
      <dgm:prSet/>
      <dgm:spPr/>
      <dgm:t>
        <a:bodyPr/>
        <a:lstStyle/>
        <a:p>
          <a:pPr algn="ctr"/>
          <a:endParaRPr lang="en-GB"/>
        </a:p>
      </dgm:t>
    </dgm:pt>
    <dgm:pt modelId="{1F5632B6-16A8-4AE1-B058-CD625018AF64}" type="sibTrans" cxnId="{72AD9C04-6D95-45C4-A5C3-AF66742AD416}">
      <dgm:prSet/>
      <dgm:spPr/>
      <dgm:t>
        <a:bodyPr/>
        <a:lstStyle/>
        <a:p>
          <a:pPr algn="ctr"/>
          <a:endParaRPr lang="en-GB"/>
        </a:p>
      </dgm:t>
    </dgm:pt>
    <dgm:pt modelId="{1C351E72-3353-423E-8C97-9DCF2E8CDEF0}">
      <dgm:prSet phldrT="[Text]"/>
      <dgm:spPr/>
      <dgm:t>
        <a:bodyPr/>
        <a:lstStyle/>
        <a:p>
          <a:pPr algn="ctr"/>
          <a:r>
            <a:rPr lang="en-GB"/>
            <a:t>Assess</a:t>
          </a:r>
        </a:p>
      </dgm:t>
    </dgm:pt>
    <dgm:pt modelId="{9954DE79-36ED-4640-A1FE-8546D5A9B940}" type="parTrans" cxnId="{E2C2E770-A752-4757-8660-42A5ECECC15D}">
      <dgm:prSet/>
      <dgm:spPr/>
      <dgm:t>
        <a:bodyPr/>
        <a:lstStyle/>
        <a:p>
          <a:pPr algn="ctr"/>
          <a:endParaRPr lang="en-GB"/>
        </a:p>
      </dgm:t>
    </dgm:pt>
    <dgm:pt modelId="{1A7626EB-8C75-47EF-8920-32A25363BC7F}" type="sibTrans" cxnId="{E2C2E770-A752-4757-8660-42A5ECECC15D}">
      <dgm:prSet/>
      <dgm:spPr/>
      <dgm:t>
        <a:bodyPr/>
        <a:lstStyle/>
        <a:p>
          <a:pPr algn="ctr"/>
          <a:endParaRPr lang="en-GB"/>
        </a:p>
      </dgm:t>
    </dgm:pt>
    <dgm:pt modelId="{DF137FA3-C389-42AC-9B22-10C9DFA54686}" type="pres">
      <dgm:prSet presAssocID="{BA11A525-2F24-42A0-918E-FA8B8C380372}" presName="cycle" presStyleCnt="0">
        <dgm:presLayoutVars>
          <dgm:dir/>
          <dgm:resizeHandles val="exact"/>
        </dgm:presLayoutVars>
      </dgm:prSet>
      <dgm:spPr/>
      <dgm:t>
        <a:bodyPr/>
        <a:lstStyle/>
        <a:p>
          <a:endParaRPr lang="en-US"/>
        </a:p>
      </dgm:t>
    </dgm:pt>
    <dgm:pt modelId="{2F5148F9-6AEF-4866-BB03-AC7D35DD4131}" type="pres">
      <dgm:prSet presAssocID="{2551B69F-4D2E-4489-95B5-F375E81DE330}" presName="dummy" presStyleCnt="0"/>
      <dgm:spPr/>
    </dgm:pt>
    <dgm:pt modelId="{396846D4-38E5-4EC7-AA95-32A50DEEA93A}" type="pres">
      <dgm:prSet presAssocID="{2551B69F-4D2E-4489-95B5-F375E81DE330}" presName="node" presStyleLbl="revTx" presStyleIdx="0" presStyleCnt="4">
        <dgm:presLayoutVars>
          <dgm:bulletEnabled val="1"/>
        </dgm:presLayoutVars>
      </dgm:prSet>
      <dgm:spPr/>
      <dgm:t>
        <a:bodyPr/>
        <a:lstStyle/>
        <a:p>
          <a:endParaRPr lang="en-US"/>
        </a:p>
      </dgm:t>
    </dgm:pt>
    <dgm:pt modelId="{39DA2CD6-12BF-4768-99A5-268F088057C4}" type="pres">
      <dgm:prSet presAssocID="{68281954-932F-4FB6-88A4-47D1FA15CD84}" presName="sibTrans" presStyleLbl="node1" presStyleIdx="0" presStyleCnt="4"/>
      <dgm:spPr/>
      <dgm:t>
        <a:bodyPr/>
        <a:lstStyle/>
        <a:p>
          <a:endParaRPr lang="en-US"/>
        </a:p>
      </dgm:t>
    </dgm:pt>
    <dgm:pt modelId="{A74CD60A-1BD8-42FF-88BC-87CC863C74BD}" type="pres">
      <dgm:prSet presAssocID="{BB06E421-F019-43BE-8DF1-BCDB3715AC8A}" presName="dummy" presStyleCnt="0"/>
      <dgm:spPr/>
    </dgm:pt>
    <dgm:pt modelId="{98453A64-5E4B-46E1-B3E2-9DF1B66364DB}" type="pres">
      <dgm:prSet presAssocID="{BB06E421-F019-43BE-8DF1-BCDB3715AC8A}" presName="node" presStyleLbl="revTx" presStyleIdx="1" presStyleCnt="4">
        <dgm:presLayoutVars>
          <dgm:bulletEnabled val="1"/>
        </dgm:presLayoutVars>
      </dgm:prSet>
      <dgm:spPr/>
      <dgm:t>
        <a:bodyPr/>
        <a:lstStyle/>
        <a:p>
          <a:endParaRPr lang="en-US"/>
        </a:p>
      </dgm:t>
    </dgm:pt>
    <dgm:pt modelId="{BFF8BDF7-6F51-4FD2-9AB5-AD9CD13B0420}" type="pres">
      <dgm:prSet presAssocID="{522E8076-E4CB-49D6-BE21-81151C335A05}" presName="sibTrans" presStyleLbl="node1" presStyleIdx="1" presStyleCnt="4"/>
      <dgm:spPr/>
      <dgm:t>
        <a:bodyPr/>
        <a:lstStyle/>
        <a:p>
          <a:endParaRPr lang="en-US"/>
        </a:p>
      </dgm:t>
    </dgm:pt>
    <dgm:pt modelId="{2E048EA5-071A-40A0-86CF-301070F262CB}" type="pres">
      <dgm:prSet presAssocID="{4D13B9C1-FCA5-4FD2-9B70-79FE4163F71A}" presName="dummy" presStyleCnt="0"/>
      <dgm:spPr/>
    </dgm:pt>
    <dgm:pt modelId="{9EED7E84-95D2-410A-852E-E307807ADD3B}" type="pres">
      <dgm:prSet presAssocID="{4D13B9C1-FCA5-4FD2-9B70-79FE4163F71A}" presName="node" presStyleLbl="revTx" presStyleIdx="2" presStyleCnt="4">
        <dgm:presLayoutVars>
          <dgm:bulletEnabled val="1"/>
        </dgm:presLayoutVars>
      </dgm:prSet>
      <dgm:spPr/>
      <dgm:t>
        <a:bodyPr/>
        <a:lstStyle/>
        <a:p>
          <a:endParaRPr lang="en-US"/>
        </a:p>
      </dgm:t>
    </dgm:pt>
    <dgm:pt modelId="{21C28455-A06C-4D2E-9C7D-5A1389191F12}" type="pres">
      <dgm:prSet presAssocID="{1F5632B6-16A8-4AE1-B058-CD625018AF64}" presName="sibTrans" presStyleLbl="node1" presStyleIdx="2" presStyleCnt="4"/>
      <dgm:spPr/>
      <dgm:t>
        <a:bodyPr/>
        <a:lstStyle/>
        <a:p>
          <a:endParaRPr lang="en-US"/>
        </a:p>
      </dgm:t>
    </dgm:pt>
    <dgm:pt modelId="{1311E5F8-DEBF-43DF-B43A-68515ACC1340}" type="pres">
      <dgm:prSet presAssocID="{1C351E72-3353-423E-8C97-9DCF2E8CDEF0}" presName="dummy" presStyleCnt="0"/>
      <dgm:spPr/>
    </dgm:pt>
    <dgm:pt modelId="{07180D36-4BC4-4794-9541-FAD93F15848E}" type="pres">
      <dgm:prSet presAssocID="{1C351E72-3353-423E-8C97-9DCF2E8CDEF0}" presName="node" presStyleLbl="revTx" presStyleIdx="3" presStyleCnt="4">
        <dgm:presLayoutVars>
          <dgm:bulletEnabled val="1"/>
        </dgm:presLayoutVars>
      </dgm:prSet>
      <dgm:spPr/>
      <dgm:t>
        <a:bodyPr/>
        <a:lstStyle/>
        <a:p>
          <a:endParaRPr lang="en-US"/>
        </a:p>
      </dgm:t>
    </dgm:pt>
    <dgm:pt modelId="{E7227198-0769-4F2E-BAA1-7E7C129DC92B}" type="pres">
      <dgm:prSet presAssocID="{1A7626EB-8C75-47EF-8920-32A25363BC7F}" presName="sibTrans" presStyleLbl="node1" presStyleIdx="3" presStyleCnt="4"/>
      <dgm:spPr/>
      <dgm:t>
        <a:bodyPr/>
        <a:lstStyle/>
        <a:p>
          <a:endParaRPr lang="en-US"/>
        </a:p>
      </dgm:t>
    </dgm:pt>
  </dgm:ptLst>
  <dgm:cxnLst>
    <dgm:cxn modelId="{05055AA0-741C-4540-8A87-8A881C1BBDCF}" type="presOf" srcId="{4D13B9C1-FCA5-4FD2-9B70-79FE4163F71A}" destId="{9EED7E84-95D2-410A-852E-E307807ADD3B}" srcOrd="0" destOrd="0" presId="urn:microsoft.com/office/officeart/2005/8/layout/cycle1"/>
    <dgm:cxn modelId="{1BB353E6-9575-4B5C-85A4-21087BE7AB0B}" type="presOf" srcId="{2551B69F-4D2E-4489-95B5-F375E81DE330}" destId="{396846D4-38E5-4EC7-AA95-32A50DEEA93A}" srcOrd="0" destOrd="0" presId="urn:microsoft.com/office/officeart/2005/8/layout/cycle1"/>
    <dgm:cxn modelId="{F2D3A8C0-FAA8-4A46-9136-16C7A73786F6}" type="presOf" srcId="{1A7626EB-8C75-47EF-8920-32A25363BC7F}" destId="{E7227198-0769-4F2E-BAA1-7E7C129DC92B}" srcOrd="0" destOrd="0" presId="urn:microsoft.com/office/officeart/2005/8/layout/cycle1"/>
    <dgm:cxn modelId="{143C0E05-83D9-4D79-809A-DFE5F18ED041}" type="presOf" srcId="{68281954-932F-4FB6-88A4-47D1FA15CD84}" destId="{39DA2CD6-12BF-4768-99A5-268F088057C4}" srcOrd="0" destOrd="0" presId="urn:microsoft.com/office/officeart/2005/8/layout/cycle1"/>
    <dgm:cxn modelId="{8A70EDC6-70F9-44A8-99E2-15EAE36771C5}" type="presOf" srcId="{522E8076-E4CB-49D6-BE21-81151C335A05}" destId="{BFF8BDF7-6F51-4FD2-9AB5-AD9CD13B0420}" srcOrd="0" destOrd="0" presId="urn:microsoft.com/office/officeart/2005/8/layout/cycle1"/>
    <dgm:cxn modelId="{A72229E5-A087-4A40-97DA-21A14A300596}" srcId="{BA11A525-2F24-42A0-918E-FA8B8C380372}" destId="{2551B69F-4D2E-4489-95B5-F375E81DE330}" srcOrd="0" destOrd="0" parTransId="{677D5597-50C3-49FA-A65E-318D86D9F5D8}" sibTransId="{68281954-932F-4FB6-88A4-47D1FA15CD84}"/>
    <dgm:cxn modelId="{9832A1F5-E415-434E-9E60-B1946909E927}" type="presOf" srcId="{1C351E72-3353-423E-8C97-9DCF2E8CDEF0}" destId="{07180D36-4BC4-4794-9541-FAD93F15848E}" srcOrd="0" destOrd="0" presId="urn:microsoft.com/office/officeart/2005/8/layout/cycle1"/>
    <dgm:cxn modelId="{3F83CDA0-C4BC-4A1C-92F9-9A4E4CA37301}" type="presOf" srcId="{BB06E421-F019-43BE-8DF1-BCDB3715AC8A}" destId="{98453A64-5E4B-46E1-B3E2-9DF1B66364DB}" srcOrd="0" destOrd="0" presId="urn:microsoft.com/office/officeart/2005/8/layout/cycle1"/>
    <dgm:cxn modelId="{E7331959-E348-4AB1-91AD-05A1799A1EE9}" type="presOf" srcId="{1F5632B6-16A8-4AE1-B058-CD625018AF64}" destId="{21C28455-A06C-4D2E-9C7D-5A1389191F12}" srcOrd="0" destOrd="0" presId="urn:microsoft.com/office/officeart/2005/8/layout/cycle1"/>
    <dgm:cxn modelId="{72AD9C04-6D95-45C4-A5C3-AF66742AD416}" srcId="{BA11A525-2F24-42A0-918E-FA8B8C380372}" destId="{4D13B9C1-FCA5-4FD2-9B70-79FE4163F71A}" srcOrd="2" destOrd="0" parTransId="{BB2F63CA-2CA6-44AC-8410-48AE81332DB7}" sibTransId="{1F5632B6-16A8-4AE1-B058-CD625018AF64}"/>
    <dgm:cxn modelId="{E2C2E770-A752-4757-8660-42A5ECECC15D}" srcId="{BA11A525-2F24-42A0-918E-FA8B8C380372}" destId="{1C351E72-3353-423E-8C97-9DCF2E8CDEF0}" srcOrd="3" destOrd="0" parTransId="{9954DE79-36ED-4640-A1FE-8546D5A9B940}" sibTransId="{1A7626EB-8C75-47EF-8920-32A25363BC7F}"/>
    <dgm:cxn modelId="{5A3F18FF-DF7B-4FF2-9F5E-C6398AF6BD9C}" srcId="{BA11A525-2F24-42A0-918E-FA8B8C380372}" destId="{BB06E421-F019-43BE-8DF1-BCDB3715AC8A}" srcOrd="1" destOrd="0" parTransId="{BCAC5748-9504-4906-8C9E-7450410628FE}" sibTransId="{522E8076-E4CB-49D6-BE21-81151C335A05}"/>
    <dgm:cxn modelId="{6D774363-BB34-413F-8DBA-CEBB78F230A7}" type="presOf" srcId="{BA11A525-2F24-42A0-918E-FA8B8C380372}" destId="{DF137FA3-C389-42AC-9B22-10C9DFA54686}" srcOrd="0" destOrd="0" presId="urn:microsoft.com/office/officeart/2005/8/layout/cycle1"/>
    <dgm:cxn modelId="{E391B9A8-29E2-4C64-8E99-12E58AA4C50D}" type="presParOf" srcId="{DF137FA3-C389-42AC-9B22-10C9DFA54686}" destId="{2F5148F9-6AEF-4866-BB03-AC7D35DD4131}" srcOrd="0" destOrd="0" presId="urn:microsoft.com/office/officeart/2005/8/layout/cycle1"/>
    <dgm:cxn modelId="{3F9D5641-CB14-4240-9263-C132BBA96C5E}" type="presParOf" srcId="{DF137FA3-C389-42AC-9B22-10C9DFA54686}" destId="{396846D4-38E5-4EC7-AA95-32A50DEEA93A}" srcOrd="1" destOrd="0" presId="urn:microsoft.com/office/officeart/2005/8/layout/cycle1"/>
    <dgm:cxn modelId="{5ABDEC60-52A2-40C6-B3EA-2E48634F75B3}" type="presParOf" srcId="{DF137FA3-C389-42AC-9B22-10C9DFA54686}" destId="{39DA2CD6-12BF-4768-99A5-268F088057C4}" srcOrd="2" destOrd="0" presId="urn:microsoft.com/office/officeart/2005/8/layout/cycle1"/>
    <dgm:cxn modelId="{1725676D-C962-4D8E-86D5-DCBB9C94A34B}" type="presParOf" srcId="{DF137FA3-C389-42AC-9B22-10C9DFA54686}" destId="{A74CD60A-1BD8-42FF-88BC-87CC863C74BD}" srcOrd="3" destOrd="0" presId="urn:microsoft.com/office/officeart/2005/8/layout/cycle1"/>
    <dgm:cxn modelId="{8E03CB8A-7839-4B15-BED9-87097C43180E}" type="presParOf" srcId="{DF137FA3-C389-42AC-9B22-10C9DFA54686}" destId="{98453A64-5E4B-46E1-B3E2-9DF1B66364DB}" srcOrd="4" destOrd="0" presId="urn:microsoft.com/office/officeart/2005/8/layout/cycle1"/>
    <dgm:cxn modelId="{6009D647-56D8-4C56-81CE-224DCEB546F1}" type="presParOf" srcId="{DF137FA3-C389-42AC-9B22-10C9DFA54686}" destId="{BFF8BDF7-6F51-4FD2-9AB5-AD9CD13B0420}" srcOrd="5" destOrd="0" presId="urn:microsoft.com/office/officeart/2005/8/layout/cycle1"/>
    <dgm:cxn modelId="{ED7D6363-2BB5-43FE-AA6B-7E12AE055391}" type="presParOf" srcId="{DF137FA3-C389-42AC-9B22-10C9DFA54686}" destId="{2E048EA5-071A-40A0-86CF-301070F262CB}" srcOrd="6" destOrd="0" presId="urn:microsoft.com/office/officeart/2005/8/layout/cycle1"/>
    <dgm:cxn modelId="{D3A2CDD0-E99F-4549-8C88-5A599BB41DFC}" type="presParOf" srcId="{DF137FA3-C389-42AC-9B22-10C9DFA54686}" destId="{9EED7E84-95D2-410A-852E-E307807ADD3B}" srcOrd="7" destOrd="0" presId="urn:microsoft.com/office/officeart/2005/8/layout/cycle1"/>
    <dgm:cxn modelId="{5F559CCA-47EE-4A25-BE19-9C19D7988BD8}" type="presParOf" srcId="{DF137FA3-C389-42AC-9B22-10C9DFA54686}" destId="{21C28455-A06C-4D2E-9C7D-5A1389191F12}" srcOrd="8" destOrd="0" presId="urn:microsoft.com/office/officeart/2005/8/layout/cycle1"/>
    <dgm:cxn modelId="{77563115-6097-402E-87C8-B1FECF5C8B63}" type="presParOf" srcId="{DF137FA3-C389-42AC-9B22-10C9DFA54686}" destId="{1311E5F8-DEBF-43DF-B43A-68515ACC1340}" srcOrd="9" destOrd="0" presId="urn:microsoft.com/office/officeart/2005/8/layout/cycle1"/>
    <dgm:cxn modelId="{30B2AA38-F9D0-4946-A3E0-0CEFB3A18E9A}" type="presParOf" srcId="{DF137FA3-C389-42AC-9B22-10C9DFA54686}" destId="{07180D36-4BC4-4794-9541-FAD93F15848E}" srcOrd="10" destOrd="0" presId="urn:microsoft.com/office/officeart/2005/8/layout/cycle1"/>
    <dgm:cxn modelId="{3C4DF2F1-C716-45B3-A125-EF48FBD9D3C2}" type="presParOf" srcId="{DF137FA3-C389-42AC-9B22-10C9DFA54686}" destId="{E7227198-0769-4F2E-BAA1-7E7C129DC92B}" srcOrd="11" destOrd="0" presId="urn:microsoft.com/office/officeart/2005/8/layout/cycle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6846D4-38E5-4EC7-AA95-32A50DEEA93A}">
      <dsp:nvSpPr>
        <dsp:cNvPr id="0" name=""/>
        <dsp:cNvSpPr/>
      </dsp:nvSpPr>
      <dsp:spPr>
        <a:xfrm>
          <a:off x="2920057"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Plan</a:t>
          </a:r>
        </a:p>
      </dsp:txBody>
      <dsp:txXfrm>
        <a:off x="2920057" y="33506"/>
        <a:ext cx="532586" cy="532586"/>
      </dsp:txXfrm>
    </dsp:sp>
    <dsp:sp modelId="{39DA2CD6-12BF-4768-99A5-268F088057C4}">
      <dsp:nvSpPr>
        <dsp:cNvPr id="0" name=""/>
        <dsp:cNvSpPr/>
      </dsp:nvSpPr>
      <dsp:spPr>
        <a:xfrm>
          <a:off x="1980986" y="-213"/>
          <a:ext cx="1505377" cy="1505377"/>
        </a:xfrm>
        <a:prstGeom prst="circularArrow">
          <a:avLst>
            <a:gd name="adj1" fmla="val 6899"/>
            <a:gd name="adj2" fmla="val 465100"/>
            <a:gd name="adj3" fmla="val 550477"/>
            <a:gd name="adj4" fmla="val 20584424"/>
            <a:gd name="adj5" fmla="val 80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453A64-5E4B-46E1-B3E2-9DF1B66364DB}">
      <dsp:nvSpPr>
        <dsp:cNvPr id="0" name=""/>
        <dsp:cNvSpPr/>
      </dsp:nvSpPr>
      <dsp:spPr>
        <a:xfrm>
          <a:off x="2920057"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Do</a:t>
          </a:r>
        </a:p>
      </dsp:txBody>
      <dsp:txXfrm>
        <a:off x="2920057" y="938857"/>
        <a:ext cx="532586" cy="532586"/>
      </dsp:txXfrm>
    </dsp:sp>
    <dsp:sp modelId="{BFF8BDF7-6F51-4FD2-9AB5-AD9CD13B0420}">
      <dsp:nvSpPr>
        <dsp:cNvPr id="0" name=""/>
        <dsp:cNvSpPr/>
      </dsp:nvSpPr>
      <dsp:spPr>
        <a:xfrm>
          <a:off x="1980986" y="-213"/>
          <a:ext cx="1505377" cy="1505377"/>
        </a:xfrm>
        <a:prstGeom prst="circularArrow">
          <a:avLst>
            <a:gd name="adj1" fmla="val 6899"/>
            <a:gd name="adj2" fmla="val 465100"/>
            <a:gd name="adj3" fmla="val 5950477"/>
            <a:gd name="adj4" fmla="val 4384424"/>
            <a:gd name="adj5" fmla="val 80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ED7E84-95D2-410A-852E-E307807ADD3B}">
      <dsp:nvSpPr>
        <dsp:cNvPr id="0" name=""/>
        <dsp:cNvSpPr/>
      </dsp:nvSpPr>
      <dsp:spPr>
        <a:xfrm>
          <a:off x="2014706" y="938857"/>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Review</a:t>
          </a:r>
        </a:p>
      </dsp:txBody>
      <dsp:txXfrm>
        <a:off x="2014706" y="938857"/>
        <a:ext cx="532586" cy="532586"/>
      </dsp:txXfrm>
    </dsp:sp>
    <dsp:sp modelId="{21C28455-A06C-4D2E-9C7D-5A1389191F12}">
      <dsp:nvSpPr>
        <dsp:cNvPr id="0" name=""/>
        <dsp:cNvSpPr/>
      </dsp:nvSpPr>
      <dsp:spPr>
        <a:xfrm>
          <a:off x="1980986" y="-213"/>
          <a:ext cx="1505377" cy="1505377"/>
        </a:xfrm>
        <a:prstGeom prst="circularArrow">
          <a:avLst>
            <a:gd name="adj1" fmla="val 6899"/>
            <a:gd name="adj2" fmla="val 465100"/>
            <a:gd name="adj3" fmla="val 11350477"/>
            <a:gd name="adj4" fmla="val 9784424"/>
            <a:gd name="adj5" fmla="val 80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180D36-4BC4-4794-9541-FAD93F15848E}">
      <dsp:nvSpPr>
        <dsp:cNvPr id="0" name=""/>
        <dsp:cNvSpPr/>
      </dsp:nvSpPr>
      <dsp:spPr>
        <a:xfrm>
          <a:off x="2014706" y="33506"/>
          <a:ext cx="532586" cy="5325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kern="1200"/>
            <a:t>Assess</a:t>
          </a:r>
        </a:p>
      </dsp:txBody>
      <dsp:txXfrm>
        <a:off x="2014706" y="33506"/>
        <a:ext cx="532586" cy="532586"/>
      </dsp:txXfrm>
    </dsp:sp>
    <dsp:sp modelId="{E7227198-0769-4F2E-BAA1-7E7C129DC92B}">
      <dsp:nvSpPr>
        <dsp:cNvPr id="0" name=""/>
        <dsp:cNvSpPr/>
      </dsp:nvSpPr>
      <dsp:spPr>
        <a:xfrm>
          <a:off x="1980986" y="-213"/>
          <a:ext cx="1505377" cy="1505377"/>
        </a:xfrm>
        <a:prstGeom prst="circularArrow">
          <a:avLst>
            <a:gd name="adj1" fmla="val 6899"/>
            <a:gd name="adj2" fmla="val 465100"/>
            <a:gd name="adj3" fmla="val 16750477"/>
            <a:gd name="adj4" fmla="val 15184424"/>
            <a:gd name="adj5" fmla="val 8049"/>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9</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C-Goring</dc:creator>
  <cp:keywords/>
  <cp:lastModifiedBy>Nigel Bradford</cp:lastModifiedBy>
  <cp:revision>4</cp:revision>
  <dcterms:created xsi:type="dcterms:W3CDTF">2021-03-21T12:53:00Z</dcterms:created>
  <dcterms:modified xsi:type="dcterms:W3CDTF">2021-05-24T16:21:00Z</dcterms:modified>
</cp:coreProperties>
</file>